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3"/>
        <w:tblW w:w="9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7"/>
        <w:gridCol w:w="4801"/>
      </w:tblGrid>
      <w:tr w14:paraId="1393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97" w:type="dxa"/>
          </w:tcPr>
          <w:p w14:paraId="7F368995">
            <w:pPr>
              <w:spacing w:before="60" w:after="60" w:line="240" w:lineRule="auto"/>
              <w:ind w:left="-57"/>
              <w:rPr>
                <w:rFonts w:eastAsia="Times New Roman" w:cs="Times New Roman" w:asciiTheme="minorHAnsi" w:hAnsiTheme="minorHAnsi"/>
                <w:bCs/>
                <w:iCs/>
                <w:color w:val="558ED5" w:themeColor="text2" w:themeTint="99"/>
                <w:sz w:val="18"/>
                <w:szCs w:val="24"/>
                <w14:textFill>
                  <w14:solidFill>
                    <w14:schemeClr w14:val="tx2">
                      <w14:lumMod w14:val="60000"/>
                      <w14:lumOff w14:val="40000"/>
                    </w14:schemeClr>
                  </w14:solidFill>
                </w14:textFill>
              </w:rPr>
            </w:pPr>
            <w:r>
              <w:rPr>
                <w:rFonts w:hint="default" w:ascii="Segoe UI" w:hAnsi="Segoe UI" w:eastAsia="Segoe UI"/>
                <w:color w:val="008ACB"/>
                <w:sz w:val="16"/>
                <w:szCs w:val="16"/>
                <w:shd w:val="clear" w:color="auto" w:fill="FFFFFF"/>
              </w:rPr>
              <w:t>https://doi.org/10.61286/e-rms.v2i.98</w:t>
            </w:r>
            <w:r>
              <w:rPr>
                <w:sz w:val="16"/>
                <w:szCs w:val="16"/>
                <w:lang w:val="es-ES" w:eastAsia="zh-CN"/>
              </w:rPr>
              <w:t xml:space="preserve"> </w:t>
            </w:r>
            <w:r>
              <w:rPr>
                <w:rFonts w:eastAsia="Times New Roman" w:cs="Times New Roman" w:asciiTheme="minorHAnsi" w:hAnsiTheme="minorHAnsi"/>
                <w:bCs/>
                <w:iCs/>
                <w:sz w:val="18"/>
                <w:szCs w:val="24"/>
              </w:rPr>
              <w:t xml:space="preserve">    </w:t>
            </w:r>
          </w:p>
        </w:tc>
        <w:tc>
          <w:tcPr>
            <w:tcW w:w="4801" w:type="dxa"/>
          </w:tcPr>
          <w:p w14:paraId="6A492817">
            <w:pPr>
              <w:pStyle w:val="2"/>
              <w:spacing w:before="60" w:after="60"/>
              <w:jc w:val="right"/>
              <w:rPr>
                <w:b w:val="0"/>
                <w:bCs w:val="0"/>
                <w:iCs/>
                <w:color w:val="558ED5" w:themeColor="text2" w:themeTint="99"/>
                <w:sz w:val="18"/>
                <w:szCs w:val="24"/>
                <w:u w:val="single"/>
                <w14:textFill>
                  <w14:solidFill>
                    <w14:schemeClr w14:val="tx2">
                      <w14:lumMod w14:val="60000"/>
                      <w14:lumOff w14:val="40000"/>
                    </w14:schemeClr>
                  </w14:solidFill>
                </w14:textFill>
              </w:rPr>
            </w:pPr>
            <w:r>
              <w:rPr>
                <w:rStyle w:val="15"/>
                <w:b w:val="0"/>
                <w:iCs w:val="0"/>
                <w:sz w:val="18"/>
              </w:rPr>
              <w:t>Artículo Original</w:t>
            </w:r>
          </w:p>
        </w:tc>
      </w:tr>
    </w:tbl>
    <w:p w14:paraId="6D1F2785">
      <w:pPr>
        <w:pStyle w:val="32"/>
        <w:keepNext w:val="0"/>
        <w:keepLines w:val="0"/>
        <w:pageBreakBefore w:val="0"/>
        <w:widowControl/>
        <w:kinsoku/>
        <w:wordWrap/>
        <w:overflowPunct/>
        <w:topLinePunct w:val="0"/>
        <w:autoSpaceDE/>
        <w:autoSpaceDN/>
        <w:bidi w:val="0"/>
        <w:adjustRightInd/>
        <w:snapToGrid/>
        <w:spacing w:after="400" w:line="240" w:lineRule="auto"/>
        <w:ind w:left="0"/>
        <w:textAlignment w:val="auto"/>
        <w:rPr>
          <w:rFonts w:hint="default" w:eastAsia="Times New Roman" w:asciiTheme="minorHAnsi" w:hAnsiTheme="minorHAnsi"/>
          <w:b/>
          <w:bCs/>
          <w:sz w:val="24"/>
          <w:szCs w:val="24"/>
        </w:rPr>
      </w:pPr>
      <w:bookmarkStart w:id="0" w:name="التعليم_كرعاية._جودة_تنقذ"/>
      <w:bookmarkEnd w:id="0"/>
      <w:r>
        <w:rPr>
          <w:rFonts w:hint="default" w:eastAsia="Times New Roman" w:asciiTheme="minorHAnsi" w:hAnsiTheme="minorHAnsi"/>
          <w:b/>
          <w:bCs/>
          <w:sz w:val="24"/>
          <w:szCs w:val="24"/>
        </w:rPr>
        <w:t>Estrategias efectivas de enfermería para la gestión del dolor en procedimientos neonatales</w:t>
      </w:r>
    </w:p>
    <w:p w14:paraId="6375F977">
      <w:pPr>
        <w:pStyle w:val="32"/>
        <w:keepNext w:val="0"/>
        <w:keepLines w:val="0"/>
        <w:pageBreakBefore w:val="0"/>
        <w:widowControl/>
        <w:kinsoku/>
        <w:wordWrap/>
        <w:overflowPunct/>
        <w:topLinePunct w:val="0"/>
        <w:autoSpaceDE/>
        <w:autoSpaceDN/>
        <w:bidi w:val="0"/>
        <w:adjustRightInd/>
        <w:snapToGrid/>
        <w:spacing w:after="400" w:line="240" w:lineRule="auto"/>
        <w:ind w:left="0"/>
        <w:textAlignment w:val="auto"/>
        <w:rPr>
          <w:rFonts w:hint="default" w:eastAsia="Times New Roman" w:asciiTheme="minorHAnsi" w:hAnsiTheme="minorHAnsi"/>
          <w:b/>
          <w:bCs/>
          <w:sz w:val="24"/>
          <w:szCs w:val="24"/>
        </w:rPr>
      </w:pPr>
    </w:p>
    <w:p w14:paraId="61B8ED3F">
      <w:pPr>
        <w:pStyle w:val="32"/>
        <w:spacing w:line="240" w:lineRule="auto"/>
        <w:ind w:left="0"/>
        <w:rPr>
          <w:rFonts w:hint="default" w:eastAsia="Times New Roman" w:asciiTheme="minorHAnsi" w:hAnsiTheme="minorHAnsi"/>
          <w:b/>
          <w:bCs/>
          <w:i/>
          <w:iCs/>
        </w:rPr>
      </w:pPr>
      <w:r>
        <w:rPr>
          <w:rFonts w:hint="default" w:eastAsia="Times New Roman" w:asciiTheme="minorHAnsi" w:hAnsiTheme="minorHAnsi"/>
          <w:b/>
          <w:bCs/>
          <w:sz w:val="24"/>
          <w:szCs w:val="24"/>
        </w:rPr>
        <w:t xml:space="preserve"> </w:t>
      </w:r>
      <w:r>
        <w:rPr>
          <w:rFonts w:hint="default" w:eastAsia="Times New Roman" w:asciiTheme="minorHAnsi" w:hAnsiTheme="minorHAnsi"/>
          <w:b/>
          <w:bCs/>
          <w:i/>
          <w:iCs/>
        </w:rPr>
        <w:t>Effective Nursing Strategies for Pain Management in Neonatal Procedures</w:t>
      </w:r>
    </w:p>
    <w:p w14:paraId="3289E5FC">
      <w:pPr>
        <w:pStyle w:val="32"/>
        <w:spacing w:line="240" w:lineRule="auto"/>
        <w:ind w:left="0"/>
        <w:rPr>
          <w:rFonts w:hint="default" w:eastAsia="Times New Roman" w:asciiTheme="minorHAnsi" w:hAnsiTheme="minorHAnsi"/>
          <w:b/>
          <w:bCs/>
          <w:i/>
          <w:iCs/>
          <w:lang w:val="es-ES"/>
        </w:rPr>
      </w:pPr>
    </w:p>
    <w:p w14:paraId="3618EBC9">
      <w:pPr>
        <w:pStyle w:val="32"/>
        <w:spacing w:line="240" w:lineRule="auto"/>
        <w:ind w:left="0"/>
        <w:jc w:val="both"/>
        <w:rPr>
          <w:rFonts w:hint="default"/>
          <w:b/>
          <w:bCs/>
          <w:lang w:val="en-US"/>
        </w:rPr>
      </w:pPr>
      <w:r>
        <w:rPr>
          <w:rFonts w:hint="default" w:asciiTheme="minorHAnsi" w:hAnsiTheme="minorHAnsi"/>
          <w:lang w:val="es-ES"/>
        </w:rPr>
        <w:t>Ingrid Valeria, Flores Zambrano</w:t>
      </w:r>
      <w:r>
        <w:rPr>
          <w:rFonts w:hint="default" w:asciiTheme="minorHAnsi" w:hAnsiTheme="minorHAnsi"/>
          <w:vertAlign w:val="superscript"/>
          <w:lang w:val="es-ES"/>
        </w:rPr>
        <w:t>1</w:t>
      </w:r>
      <w:r>
        <w:rPr>
          <w:rFonts w:cs="Times New Roman" w:asciiTheme="minorHAnsi" w:hAnsiTheme="minorHAnsi"/>
          <w:szCs w:val="20"/>
          <w:lang w:val="es-ES" w:eastAsia="es-ES"/>
        </w:rPr>
        <w:drawing>
          <wp:inline distT="0" distB="0" distL="0" distR="0">
            <wp:extent cx="121920" cy="121920"/>
            <wp:effectExtent l="0" t="0" r="0" b="0"/>
            <wp:docPr id="3" name="Imagen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5095" cy="125095"/>
                    </a:xfrm>
                    <a:prstGeom prst="rect">
                      <a:avLst/>
                    </a:prstGeom>
                    <a:noFill/>
                  </pic:spPr>
                </pic:pic>
              </a:graphicData>
            </a:graphic>
          </wp:inline>
        </w:drawing>
      </w:r>
      <w:r>
        <w:rPr>
          <w:rFonts w:hint="default" w:cs="Times New Roman" w:asciiTheme="minorHAnsi" w:hAnsiTheme="minorHAnsi"/>
          <w:szCs w:val="20"/>
          <w:lang w:val="en-US" w:eastAsia="es-ES"/>
        </w:rPr>
        <w:t xml:space="preserve"> </w:t>
      </w:r>
      <w:r>
        <w:rPr>
          <w:lang w:val="es-ES" w:eastAsia="es-ES"/>
        </w:rPr>
        <w:drawing>
          <wp:inline distT="0" distB="0" distL="0" distR="0">
            <wp:extent cx="173355" cy="143510"/>
            <wp:effectExtent l="0" t="0" r="9525" b="8890"/>
            <wp:docPr id="1" name="Imagen 13" descr="Sobres de correo, sobres de correo, sobre png | PNGEg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3" descr="Sobres de correo, sobres de correo, sobre png | PNGEg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0630" cy="143510"/>
                    </a:xfrm>
                    <a:prstGeom prst="rect">
                      <a:avLst/>
                    </a:prstGeom>
                    <a:noFill/>
                    <a:ln>
                      <a:noFill/>
                    </a:ln>
                  </pic:spPr>
                </pic:pic>
              </a:graphicData>
            </a:graphic>
          </wp:inline>
        </w:drawing>
      </w:r>
      <w:r>
        <w:rPr>
          <w:rFonts w:hint="default"/>
          <w:lang w:val="en-US" w:eastAsia="es-ES"/>
        </w:rPr>
        <w:t xml:space="preserve">; </w:t>
      </w:r>
      <w:r>
        <w:rPr>
          <w:rFonts w:hint="default" w:asciiTheme="minorHAnsi" w:hAnsiTheme="minorHAnsi"/>
          <w:lang w:val="es-ES"/>
        </w:rPr>
        <w:t>Joselyne Nathaly, Valenzuela Cáceres</w:t>
      </w:r>
      <w:r>
        <w:rPr>
          <w:rFonts w:hint="default" w:asciiTheme="minorHAnsi" w:hAnsiTheme="minorHAnsi"/>
          <w:vertAlign w:val="superscript"/>
          <w:lang w:val="es-ES"/>
        </w:rPr>
        <w:t>1</w:t>
      </w:r>
      <w:r>
        <w:rPr>
          <w:rFonts w:cs="Times New Roman" w:asciiTheme="minorHAnsi" w:hAnsiTheme="minorHAnsi"/>
          <w:szCs w:val="20"/>
          <w:lang w:val="es-ES" w:eastAsia="es-ES"/>
        </w:rPr>
        <w:drawing>
          <wp:inline distT="0" distB="0" distL="0" distR="0">
            <wp:extent cx="121920" cy="121920"/>
            <wp:effectExtent l="0" t="0" r="0" b="0"/>
            <wp:docPr id="5" name="Imagen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5095" cy="125095"/>
                    </a:xfrm>
                    <a:prstGeom prst="rect">
                      <a:avLst/>
                    </a:prstGeom>
                    <a:noFill/>
                  </pic:spPr>
                </pic:pic>
              </a:graphicData>
            </a:graphic>
          </wp:inline>
        </w:drawing>
      </w:r>
      <w:r>
        <w:rPr>
          <w:rFonts w:hint="default" w:cs="Times New Roman" w:asciiTheme="minorHAnsi" w:hAnsiTheme="minorHAnsi"/>
          <w:szCs w:val="20"/>
          <w:lang w:val="en-US" w:eastAsia="es-ES"/>
        </w:rPr>
        <w:t xml:space="preserve">; </w:t>
      </w:r>
      <w:r>
        <w:rPr>
          <w:rFonts w:hint="default" w:asciiTheme="minorHAnsi" w:hAnsiTheme="minorHAnsi"/>
          <w:lang w:val="es-ES"/>
        </w:rPr>
        <w:t>Miryam Elizabeth, Poma Rea</w:t>
      </w:r>
      <w:r>
        <w:rPr>
          <w:rFonts w:hint="default" w:asciiTheme="minorHAnsi" w:hAnsiTheme="minorHAnsi"/>
          <w:vertAlign w:val="superscript"/>
          <w:lang w:val="es-ES"/>
        </w:rPr>
        <w:t>2</w:t>
      </w:r>
      <w:r>
        <w:rPr>
          <w:rFonts w:hint="default" w:asciiTheme="minorHAnsi" w:hAnsiTheme="minorHAnsi"/>
          <w:lang w:val="es-ES"/>
        </w:rPr>
        <w:t xml:space="preserve"> </w:t>
      </w:r>
      <w:r>
        <w:rPr>
          <w:rFonts w:cs="Times New Roman" w:asciiTheme="minorHAnsi" w:hAnsiTheme="minorHAnsi"/>
          <w:szCs w:val="20"/>
          <w:lang w:val="es-ES" w:eastAsia="es-ES"/>
        </w:rPr>
        <w:drawing>
          <wp:inline distT="0" distB="0" distL="0" distR="0">
            <wp:extent cx="121920" cy="121920"/>
            <wp:effectExtent l="0" t="0" r="0" b="0"/>
            <wp:docPr id="2" name="Imagen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5095" cy="125095"/>
                    </a:xfrm>
                    <a:prstGeom prst="rect">
                      <a:avLst/>
                    </a:prstGeom>
                    <a:noFill/>
                  </pic:spPr>
                </pic:pic>
              </a:graphicData>
            </a:graphic>
          </wp:inline>
        </w:drawing>
      </w:r>
      <w:r>
        <w:rPr>
          <w:rFonts w:hint="default" w:cs="Times New Roman" w:asciiTheme="minorHAnsi" w:hAnsiTheme="minorHAnsi"/>
          <w:szCs w:val="20"/>
          <w:lang w:val="en-US" w:eastAsia="es-ES"/>
        </w:rPr>
        <w:t xml:space="preserve">; </w:t>
      </w:r>
      <w:r>
        <w:rPr>
          <w:rFonts w:hint="default" w:asciiTheme="minorHAnsi" w:hAnsiTheme="minorHAnsi"/>
          <w:lang w:val="es-ES"/>
        </w:rPr>
        <w:t>Lourdes Tatiana, Vaca Martínez</w:t>
      </w:r>
      <w:r>
        <w:rPr>
          <w:rFonts w:hint="default" w:asciiTheme="minorHAnsi" w:hAnsiTheme="minorHAnsi"/>
          <w:vertAlign w:val="superscript"/>
          <w:lang w:val="es-ES"/>
        </w:rPr>
        <w:t>2</w:t>
      </w:r>
      <w:r>
        <w:rPr>
          <w:rFonts w:hint="default" w:asciiTheme="minorHAnsi" w:hAnsiTheme="minorHAnsi"/>
          <w:lang w:val="es-ES"/>
        </w:rPr>
        <w:t xml:space="preserve"> </w:t>
      </w:r>
      <w:r>
        <w:rPr>
          <w:rFonts w:cs="Times New Roman" w:asciiTheme="minorHAnsi" w:hAnsiTheme="minorHAnsi"/>
          <w:szCs w:val="20"/>
          <w:lang w:val="es-ES" w:eastAsia="es-ES"/>
        </w:rPr>
        <w:drawing>
          <wp:inline distT="0" distB="0" distL="0" distR="0">
            <wp:extent cx="121920" cy="121920"/>
            <wp:effectExtent l="0" t="0" r="0" b="0"/>
            <wp:docPr id="7" name="Imagen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5095" cy="125095"/>
                    </a:xfrm>
                    <a:prstGeom prst="rect">
                      <a:avLst/>
                    </a:prstGeom>
                    <a:noFill/>
                  </pic:spPr>
                </pic:pic>
              </a:graphicData>
            </a:graphic>
          </wp:inline>
        </w:drawing>
      </w:r>
      <w:r>
        <w:rPr>
          <w:rFonts w:hint="default" w:cs="Times New Roman" w:asciiTheme="minorHAnsi" w:hAnsiTheme="minorHAnsi"/>
          <w:szCs w:val="20"/>
          <w:lang w:val="en-US" w:eastAsia="es-ES"/>
        </w:rPr>
        <w:t xml:space="preserve">; </w:t>
      </w:r>
      <w:r>
        <w:rPr>
          <w:rFonts w:hint="default" w:asciiTheme="minorHAnsi" w:hAnsiTheme="minorHAnsi"/>
          <w:lang w:val="es-ES"/>
        </w:rPr>
        <w:t>Gabriela Solange, Flores Duarte</w:t>
      </w:r>
      <w:r>
        <w:rPr>
          <w:rFonts w:hint="default" w:asciiTheme="minorHAnsi" w:hAnsiTheme="minorHAnsi"/>
          <w:vertAlign w:val="superscript"/>
          <w:lang w:val="es-ES"/>
        </w:rPr>
        <w:t>3</w:t>
      </w:r>
      <w:r>
        <w:rPr>
          <w:rFonts w:hint="default" w:asciiTheme="minorHAnsi" w:hAnsiTheme="minorHAnsi"/>
          <w:lang w:val="es-ES"/>
        </w:rPr>
        <w:t xml:space="preserve"> </w:t>
      </w:r>
      <w:r>
        <w:rPr>
          <w:rFonts w:cs="Times New Roman" w:asciiTheme="minorHAnsi" w:hAnsiTheme="minorHAnsi"/>
          <w:szCs w:val="20"/>
          <w:lang w:val="es-ES" w:eastAsia="es-ES"/>
        </w:rPr>
        <w:drawing>
          <wp:inline distT="0" distB="0" distL="0" distR="0">
            <wp:extent cx="121920" cy="121920"/>
            <wp:effectExtent l="0" t="0" r="0" b="0"/>
            <wp:docPr id="10" name="Imagen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5095" cy="125095"/>
                    </a:xfrm>
                    <a:prstGeom prst="rect">
                      <a:avLst/>
                    </a:prstGeom>
                    <a:noFill/>
                  </pic:spPr>
                </pic:pic>
              </a:graphicData>
            </a:graphic>
          </wp:inline>
        </w:drawing>
      </w:r>
    </w:p>
    <w:p w14:paraId="751A5143">
      <w:pPr>
        <w:pStyle w:val="40"/>
        <w:numPr>
          <w:ilvl w:val="0"/>
          <w:numId w:val="2"/>
        </w:numPr>
      </w:pPr>
      <w:r>
        <w:rPr>
          <w:rFonts w:hint="default"/>
        </w:rPr>
        <w:t>PUCETEC - Universidad Católica Ambato</w:t>
      </w:r>
      <w:r>
        <w:rPr>
          <w:rFonts w:hint="default"/>
          <w:lang w:val="es-ES"/>
        </w:rPr>
        <w:t xml:space="preserve">, </w:t>
      </w:r>
      <w:r>
        <w:rPr>
          <w:rFonts w:hint="default"/>
        </w:rPr>
        <w:t>Ambato</w:t>
      </w:r>
      <w:r>
        <w:rPr>
          <w:rFonts w:hint="default"/>
          <w:lang w:val="es-ES"/>
        </w:rPr>
        <w:t xml:space="preserve">, </w:t>
      </w:r>
      <w:r>
        <w:rPr>
          <w:rFonts w:hint="default"/>
        </w:rPr>
        <w:t xml:space="preserve">Ecuador.  </w:t>
      </w:r>
    </w:p>
    <w:p w14:paraId="3F9D549F">
      <w:pPr>
        <w:pStyle w:val="40"/>
        <w:numPr>
          <w:ilvl w:val="0"/>
          <w:numId w:val="2"/>
        </w:numPr>
      </w:pPr>
      <w:r>
        <w:rPr>
          <w:rFonts w:hint="default"/>
        </w:rPr>
        <w:t>Hospital Municipal Nuestra Señora de la Merced</w:t>
      </w:r>
      <w:r>
        <w:rPr>
          <w:rFonts w:hint="default"/>
          <w:lang w:val="es-ES"/>
        </w:rPr>
        <w:t xml:space="preserve">, </w:t>
      </w:r>
      <w:r>
        <w:rPr>
          <w:rFonts w:hint="default"/>
        </w:rPr>
        <w:t>Ambato</w:t>
      </w:r>
      <w:r>
        <w:rPr>
          <w:rFonts w:hint="default"/>
          <w:lang w:val="es-ES"/>
        </w:rPr>
        <w:t xml:space="preserve">, </w:t>
      </w:r>
      <w:r>
        <w:rPr>
          <w:rFonts w:hint="default"/>
        </w:rPr>
        <w:t>Ecuador</w:t>
      </w:r>
      <w:r>
        <w:rPr>
          <w:rFonts w:hint="default"/>
          <w:lang w:val="es-ES"/>
        </w:rPr>
        <w:t>.</w:t>
      </w:r>
    </w:p>
    <w:p w14:paraId="2C22ED9F">
      <w:pPr>
        <w:pStyle w:val="40"/>
        <w:numPr>
          <w:ilvl w:val="0"/>
          <w:numId w:val="2"/>
        </w:numPr>
      </w:pPr>
      <w:r>
        <w:rPr>
          <w:rFonts w:hint="default"/>
        </w:rPr>
        <w:t>Hospital Carlos Andrade Marín</w:t>
      </w:r>
      <w:r>
        <w:rPr>
          <w:rFonts w:hint="default"/>
          <w:lang w:val="es-ES"/>
        </w:rPr>
        <w:t xml:space="preserve">, </w:t>
      </w:r>
      <w:r>
        <w:rPr>
          <w:rFonts w:hint="default"/>
        </w:rPr>
        <w:t>Quito-Ecuador</w:t>
      </w:r>
      <w:r>
        <w:rPr>
          <w:rFonts w:hint="default"/>
          <w:lang w:val="es-ES"/>
        </w:rPr>
        <w:t>.</w:t>
      </w:r>
    </w:p>
    <w:p w14:paraId="0DAC6FFA">
      <w:pPr>
        <w:pStyle w:val="22"/>
        <w:rPr>
          <w:i w:val="0"/>
          <w:sz w:val="24"/>
        </w:rPr>
      </w:pPr>
      <w:r>
        <w:rPr>
          <w:i w:val="0"/>
          <w:sz w:val="24"/>
        </w:rPr>
        <w:t>Resumen</w:t>
      </w:r>
    </w:p>
    <w:p w14:paraId="3637CD63">
      <w:pPr>
        <w:pStyle w:val="39"/>
        <w:pBdr>
          <w:bottom w:val="single" w:color="auto" w:sz="12" w:space="1"/>
        </w:pBdr>
        <w:rPr>
          <w:rFonts w:hint="default"/>
          <w:sz w:val="16"/>
          <w:szCs w:val="16"/>
        </w:rPr>
      </w:pPr>
      <w:r>
        <w:rPr>
          <w:rFonts w:hint="default"/>
          <w:sz w:val="16"/>
          <w:szCs w:val="16"/>
        </w:rPr>
        <w:t>El dolor neonatal es una experiencia sensorial y emocional que, si no se maneja adecuadamente, puede generar consecuencias negativas a corto y largo plazo. Esta revisión analiza las estrategias efectivas de enfermería para la gestión del dolor neonatal, centrándose en intervenciones no farmacológicas, el rol del personal de enfermería en la evaluación del dolor y el impacto de estas prácticas en la salud neonatal. Se utilizó una metodología de revisión bibliográfica integrativa con un enfoque descriptivo cuantitativo, basada en el método PRISMA, incluyéndose 30 estudios publicados entre 2019 y 2024. Los artículos se seleccionaron de bases de datos como PubMed, Google Scholar y Scielo mediante operadores booleanos y términos clave relacionados con el manejo del dolor neonatal.Los resultados destacan la efectividad de intervenciones como el contacto piel con piel (41.7%), la succión no nutritiva (33.3%) y la administración de soluciones dulces (16.7%), junto con el uso de herramientas de evaluación como las escalas FLACC, NIPS y PIPP, mencionadas en el 33.3% de los estudios respectivos. Sin embargo, la implementación de estas estrategias enfrenta desafíos relacionados con la falta de capacitación, la variabilidad en el uso de herramientas y la ausencia de protocolos estandarizados. Este trabajo enfatiza la importancia de fortalecer la formación del personal de enfermería, desarrollar instrumentos más integrales y promover prácticas basadas en evidencia para optimizar la atención neonatal.</w:t>
      </w:r>
    </w:p>
    <w:p w14:paraId="4C7300CB">
      <w:pPr>
        <w:pStyle w:val="39"/>
        <w:pBdr>
          <w:bottom w:val="single" w:color="auto" w:sz="12" w:space="1"/>
        </w:pBdr>
        <w:rPr>
          <w:sz w:val="16"/>
          <w:szCs w:val="16"/>
        </w:rPr>
      </w:pPr>
      <w:r>
        <w:rPr>
          <w:rFonts w:hint="default"/>
          <w:b/>
          <w:bCs/>
          <w:sz w:val="16"/>
          <w:szCs w:val="16"/>
        </w:rPr>
        <w:t>Palabras clave</w:t>
      </w:r>
      <w:r>
        <w:rPr>
          <w:rFonts w:hint="default"/>
          <w:sz w:val="16"/>
          <w:szCs w:val="16"/>
        </w:rPr>
        <w:t>: Dolor neonatal, Enfermería, Intervenciones no farmacológicas, Escalas de evaluación, Atención basada en evidencia.</w:t>
      </w:r>
    </w:p>
    <w:p w14:paraId="72F2589D">
      <w:pPr>
        <w:pStyle w:val="22"/>
        <w:rPr>
          <w:rStyle w:val="21"/>
          <w:b/>
          <w:bCs w:val="0"/>
          <w:i w:val="0"/>
          <w:sz w:val="24"/>
          <w:lang w:val="en-US"/>
        </w:rPr>
      </w:pPr>
      <w:r>
        <w:rPr>
          <w:rStyle w:val="21"/>
          <w:b/>
          <w:bCs w:val="0"/>
          <w:i w:val="0"/>
          <w:sz w:val="24"/>
          <w:lang w:val="en-US"/>
        </w:rPr>
        <w:t xml:space="preserve">Abstract </w:t>
      </w:r>
    </w:p>
    <w:p w14:paraId="6E4BAD8F">
      <w:pPr>
        <w:pStyle w:val="39"/>
        <w:pBdr>
          <w:bottom w:val="single" w:color="auto" w:sz="12" w:space="1"/>
        </w:pBdr>
        <w:rPr>
          <w:rFonts w:hint="default"/>
          <w:sz w:val="16"/>
          <w:szCs w:val="16"/>
          <w:lang w:val="en-US"/>
        </w:rPr>
      </w:pPr>
      <w:r>
        <w:rPr>
          <w:rFonts w:hint="default"/>
          <w:sz w:val="16"/>
          <w:szCs w:val="16"/>
          <w:lang w:val="en-US"/>
        </w:rPr>
        <w:t>Neonatal pain is a sensory and emotional experience that, if not adequately managed, can lead to short- and long-term negative consequences. This review analyzes effective nursing strategies for managing neonatal pain, focusing on non-pharmacological interventions, the role of nurses in pain assessment, and the impact of these practices on neonatal health. An integrative bibliographic review methodology with a descriptive quantitative approach was used, based on the PRISMA method, including 30 studies published between 2019 and 2024. Articles were selected from databases such as PubMed, Google Scholar, and Scielo using Boolean operators and keywords related to neonatal pain management. The results highlight the effectiveness of interventions such as skin-to-skin contact (41.7%), non-nutritive sucking (33.3%), and the administration of sweet solutions (16.7%), along with the use of assessment tools such as the FLACC, NIPS, and PIPP scales, each mentioned in 33.3% of the respective studies. However, the implementation of these strategies faces challenges related to lack of training, variability in the use of tools, and the absence of standardized protocols. This study emphasizes the importance of strengthening nursing education, developing more comprehensive tools, and promoting evidence-based practices to optimize neonatal care.</w:t>
      </w:r>
    </w:p>
    <w:p w14:paraId="3633FDE0">
      <w:pPr>
        <w:pStyle w:val="39"/>
        <w:pBdr>
          <w:bottom w:val="single" w:color="auto" w:sz="12" w:space="1"/>
        </w:pBdr>
        <w:rPr>
          <w:sz w:val="20"/>
          <w:lang w:val="en-US"/>
        </w:rPr>
      </w:pPr>
      <w:r>
        <w:rPr>
          <w:rFonts w:hint="default"/>
          <w:sz w:val="16"/>
          <w:szCs w:val="16"/>
          <w:lang w:val="en-US"/>
        </w:rPr>
        <w:t>Keywords: Neonatal pain, Nursing, Non-pharmacological interventions, Pain assessment scales, Evidence-based care.</w:t>
      </w:r>
    </w:p>
    <w:tbl>
      <w:tblPr>
        <w:tblStyle w:val="23"/>
        <w:tblW w:w="0" w:type="auto"/>
        <w:tblInd w:w="0" w:type="dxa"/>
        <w:tblBorders>
          <w:top w:val="single" w:color="0070C0" w:sz="6" w:space="0"/>
          <w:left w:val="single" w:color="0070C0" w:sz="6" w:space="0"/>
          <w:bottom w:val="single" w:color="0070C0" w:sz="6" w:space="0"/>
          <w:right w:val="single" w:color="0070C0" w:sz="6" w:space="0"/>
          <w:insideH w:val="single" w:color="0070C0" w:sz="6" w:space="0"/>
          <w:insideV w:val="single" w:color="0070C0" w:sz="6" w:space="0"/>
        </w:tblBorders>
        <w:tblLayout w:type="autofit"/>
        <w:tblCellMar>
          <w:top w:w="0" w:type="dxa"/>
          <w:left w:w="108" w:type="dxa"/>
          <w:bottom w:w="0" w:type="dxa"/>
          <w:right w:w="108" w:type="dxa"/>
        </w:tblCellMar>
      </w:tblPr>
      <w:tblGrid>
        <w:gridCol w:w="1565"/>
        <w:gridCol w:w="1563"/>
        <w:gridCol w:w="1566"/>
        <w:gridCol w:w="1564"/>
        <w:gridCol w:w="1566"/>
        <w:gridCol w:w="1564"/>
      </w:tblGrid>
      <w:tr w14:paraId="4FC23FAC">
        <w:tblPrEx>
          <w:tblBorders>
            <w:top w:val="single" w:color="0070C0" w:sz="6" w:space="0"/>
            <w:left w:val="single" w:color="0070C0" w:sz="6" w:space="0"/>
            <w:bottom w:val="single" w:color="0070C0" w:sz="6" w:space="0"/>
            <w:right w:val="single" w:color="0070C0" w:sz="6" w:space="0"/>
            <w:insideH w:val="single" w:color="0070C0" w:sz="6" w:space="0"/>
            <w:insideV w:val="single" w:color="0070C0" w:sz="6" w:space="0"/>
          </w:tblBorders>
          <w:tblCellMar>
            <w:top w:w="0" w:type="dxa"/>
            <w:left w:w="108" w:type="dxa"/>
            <w:bottom w:w="0" w:type="dxa"/>
            <w:right w:w="108" w:type="dxa"/>
          </w:tblCellMar>
        </w:tblPrEx>
        <w:tc>
          <w:tcPr>
            <w:tcW w:w="1565" w:type="dxa"/>
          </w:tcPr>
          <w:p w14:paraId="039F5B09">
            <w:pPr>
              <w:spacing w:after="0" w:line="240" w:lineRule="auto"/>
              <w:jc w:val="both"/>
              <w:rPr>
                <w:rFonts w:cs="Times New Roman" w:asciiTheme="minorHAnsi" w:hAnsiTheme="minorHAnsi"/>
                <w:sz w:val="16"/>
                <w:szCs w:val="16"/>
              </w:rPr>
            </w:pPr>
            <w:r>
              <w:rPr>
                <w:rFonts w:cs="Times New Roman" w:asciiTheme="minorHAnsi" w:hAnsiTheme="minorHAnsi"/>
                <w:sz w:val="16"/>
                <w:szCs w:val="16"/>
              </w:rPr>
              <w:t>Recibido/Received</w:t>
            </w:r>
          </w:p>
        </w:tc>
        <w:tc>
          <w:tcPr>
            <w:tcW w:w="1563" w:type="dxa"/>
            <w:shd w:val="clear" w:color="auto" w:fill="auto"/>
          </w:tcPr>
          <w:p w14:paraId="137427E3">
            <w:pPr>
              <w:spacing w:after="0" w:line="240" w:lineRule="auto"/>
              <w:jc w:val="center"/>
              <w:rPr>
                <w:rFonts w:hint="default" w:cs="Times New Roman" w:asciiTheme="minorHAnsi" w:hAnsiTheme="minorHAnsi"/>
                <w:sz w:val="16"/>
                <w:szCs w:val="16"/>
                <w:lang w:val="es-ES"/>
              </w:rPr>
            </w:pPr>
            <w:r>
              <w:rPr>
                <w:rFonts w:hint="default" w:cs="Times New Roman" w:asciiTheme="minorHAnsi" w:hAnsiTheme="minorHAnsi"/>
                <w:sz w:val="16"/>
                <w:szCs w:val="16"/>
                <w:lang w:val="es-ES"/>
              </w:rPr>
              <w:t>23-10-2024</w:t>
            </w:r>
          </w:p>
        </w:tc>
        <w:tc>
          <w:tcPr>
            <w:tcW w:w="1566" w:type="dxa"/>
          </w:tcPr>
          <w:p w14:paraId="6A2AEB1B">
            <w:pPr>
              <w:spacing w:after="0" w:line="240" w:lineRule="auto"/>
              <w:jc w:val="both"/>
              <w:rPr>
                <w:rFonts w:cs="Times New Roman" w:asciiTheme="minorHAnsi" w:hAnsiTheme="minorHAnsi"/>
                <w:sz w:val="16"/>
                <w:szCs w:val="16"/>
              </w:rPr>
            </w:pPr>
            <w:r>
              <w:rPr>
                <w:rFonts w:cs="Times New Roman" w:asciiTheme="minorHAnsi" w:hAnsiTheme="minorHAnsi"/>
                <w:sz w:val="16"/>
                <w:szCs w:val="16"/>
              </w:rPr>
              <w:t>Aprobado/Approved</w:t>
            </w:r>
          </w:p>
        </w:tc>
        <w:tc>
          <w:tcPr>
            <w:tcW w:w="1564" w:type="dxa"/>
            <w:shd w:val="clear" w:color="auto" w:fill="auto"/>
          </w:tcPr>
          <w:p w14:paraId="0B8A5B21">
            <w:pPr>
              <w:spacing w:after="0" w:line="240" w:lineRule="auto"/>
              <w:jc w:val="center"/>
              <w:rPr>
                <w:rFonts w:cs="Times New Roman" w:asciiTheme="minorHAnsi" w:hAnsiTheme="minorHAnsi"/>
                <w:sz w:val="16"/>
                <w:szCs w:val="16"/>
                <w:lang w:val="es-ES"/>
              </w:rPr>
            </w:pPr>
            <w:r>
              <w:rPr>
                <w:rFonts w:hint="default" w:cs="Times New Roman" w:asciiTheme="minorHAnsi" w:hAnsiTheme="minorHAnsi"/>
                <w:sz w:val="16"/>
                <w:szCs w:val="16"/>
                <w:lang w:val="es-ES"/>
              </w:rPr>
              <w:t>07-12</w:t>
            </w:r>
            <w:r>
              <w:rPr>
                <w:rFonts w:cs="Times New Roman" w:asciiTheme="minorHAnsi" w:hAnsiTheme="minorHAnsi"/>
                <w:sz w:val="16"/>
                <w:szCs w:val="16"/>
                <w:lang w:val="es-ES"/>
              </w:rPr>
              <w:t>-2024</w:t>
            </w:r>
          </w:p>
        </w:tc>
        <w:tc>
          <w:tcPr>
            <w:tcW w:w="1566" w:type="dxa"/>
            <w:shd w:val="clear" w:color="auto" w:fill="auto"/>
          </w:tcPr>
          <w:p w14:paraId="55D6BF2E">
            <w:pPr>
              <w:spacing w:after="0" w:line="240" w:lineRule="auto"/>
              <w:jc w:val="both"/>
              <w:rPr>
                <w:rFonts w:cs="Times New Roman" w:asciiTheme="minorHAnsi" w:hAnsiTheme="minorHAnsi"/>
                <w:sz w:val="16"/>
                <w:szCs w:val="16"/>
              </w:rPr>
            </w:pPr>
            <w:r>
              <w:rPr>
                <w:rFonts w:cs="Times New Roman" w:asciiTheme="minorHAnsi" w:hAnsiTheme="minorHAnsi"/>
                <w:sz w:val="16"/>
                <w:szCs w:val="16"/>
              </w:rPr>
              <w:t>Publicado/Published</w:t>
            </w:r>
          </w:p>
        </w:tc>
        <w:tc>
          <w:tcPr>
            <w:tcW w:w="1564" w:type="dxa"/>
            <w:shd w:val="clear" w:color="auto" w:fill="auto"/>
          </w:tcPr>
          <w:p w14:paraId="2A711869">
            <w:pPr>
              <w:spacing w:after="0" w:line="240" w:lineRule="auto"/>
              <w:jc w:val="center"/>
              <w:rPr>
                <w:rFonts w:cs="Times New Roman" w:asciiTheme="minorHAnsi" w:hAnsiTheme="minorHAnsi"/>
                <w:sz w:val="16"/>
                <w:szCs w:val="16"/>
                <w:lang w:val="es-ES"/>
              </w:rPr>
            </w:pPr>
            <w:r>
              <w:rPr>
                <w:rFonts w:hint="default" w:cs="Times New Roman" w:asciiTheme="minorHAnsi" w:hAnsiTheme="minorHAnsi"/>
                <w:sz w:val="16"/>
                <w:szCs w:val="16"/>
                <w:lang w:val="es-ES"/>
              </w:rPr>
              <w:t>10</w:t>
            </w:r>
            <w:r>
              <w:rPr>
                <w:rFonts w:cs="Times New Roman" w:asciiTheme="minorHAnsi" w:hAnsiTheme="minorHAnsi"/>
                <w:sz w:val="16"/>
                <w:szCs w:val="16"/>
                <w:lang w:val="es-ES"/>
              </w:rPr>
              <w:t>-1</w:t>
            </w:r>
            <w:r>
              <w:rPr>
                <w:rFonts w:hint="default" w:cs="Times New Roman" w:asciiTheme="minorHAnsi" w:hAnsiTheme="minorHAnsi"/>
                <w:sz w:val="16"/>
                <w:szCs w:val="16"/>
                <w:lang w:val="es-ES"/>
              </w:rPr>
              <w:t>2</w:t>
            </w:r>
            <w:r>
              <w:rPr>
                <w:rFonts w:cs="Times New Roman" w:asciiTheme="minorHAnsi" w:hAnsiTheme="minorHAnsi"/>
                <w:sz w:val="16"/>
                <w:szCs w:val="16"/>
                <w:lang w:val="es-ES"/>
              </w:rPr>
              <w:t>-2024</w:t>
            </w:r>
          </w:p>
        </w:tc>
      </w:tr>
    </w:tbl>
    <w:p w14:paraId="6A1186EB">
      <w:pPr>
        <w:rPr>
          <w:rFonts w:cs="Times New Roman" w:asciiTheme="minorHAnsi" w:hAnsiTheme="minorHAnsi"/>
          <w:b/>
          <w:sz w:val="24"/>
          <w:szCs w:val="24"/>
          <w:u w:val="single"/>
          <w:lang w:val="es-ES"/>
        </w:rPr>
      </w:pPr>
    </w:p>
    <w:p w14:paraId="3D71D29E">
      <w:pPr>
        <w:keepNext w:val="0"/>
        <w:keepLines w:val="0"/>
        <w:pageBreakBefore w:val="0"/>
        <w:widowControl/>
        <w:kinsoku/>
        <w:wordWrap/>
        <w:overflowPunct/>
        <w:topLinePunct w:val="0"/>
        <w:autoSpaceDE/>
        <w:autoSpaceDN/>
        <w:bidi w:val="0"/>
        <w:adjustRightInd/>
        <w:snapToGrid/>
        <w:spacing w:before="361" w:beforeLines="100" w:line="260" w:lineRule="auto"/>
        <w:textAlignment w:val="auto"/>
        <w:rPr>
          <w:b/>
          <w:bCs/>
        </w:rPr>
      </w:pPr>
      <w:r>
        <w:rPr>
          <w:rFonts w:cs="Times New Roman" w:asciiTheme="minorHAnsi" w:hAnsiTheme="minorHAnsi"/>
          <w:sz w:val="24"/>
          <w:szCs w:val="24"/>
          <w:lang w:val="es-ES"/>
        </w:rPr>
        <w:br w:type="page"/>
      </w:r>
      <w:r>
        <w:rPr>
          <w:b/>
          <w:bCs/>
          <w:sz w:val="24"/>
          <w:szCs w:val="24"/>
          <w:lang w:val="es-VE"/>
        </w:rPr>
        <w:t>Introducción</w:t>
      </w:r>
      <w:r>
        <w:rPr>
          <w:b/>
          <w:bCs/>
        </w:rPr>
        <w:tab/>
      </w:r>
      <w:r>
        <w:rPr>
          <w:b/>
          <w:bCs/>
        </w:rPr>
        <w:tab/>
      </w:r>
    </w:p>
    <w:p w14:paraId="0C35D8E3">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firstLineChars="0"/>
        <w:jc w:val="both"/>
        <w:textAlignment w:val="auto"/>
        <w:rPr>
          <w:rFonts w:hint="default"/>
          <w:sz w:val="22"/>
          <w:szCs w:val="21"/>
          <w:lang w:val="es-PE"/>
        </w:rPr>
      </w:pPr>
      <w:r>
        <w:rPr>
          <w:rFonts w:hint="default"/>
          <w:sz w:val="22"/>
          <w:szCs w:val="21"/>
          <w:lang w:val="es-PE"/>
        </w:rPr>
        <w:t>El dolor en neonatos es una experiencia sensorial y emocional compleja, influenciada por factores neurobiológicos y contextuales, que puede tener repercusiones significativas en su desarrollo. A pesar de la creencia histórica de que los recién nacidos no experimentan dolor debido a la inmadurez de su sistema nervioso, investigaciones recientes han demostrado que el sistema nociceptivo está funcional desde las semanas 24 a 28 de gestación. Esto permite que los neonatos perciban estímulos dolorosos desde el nacimiento (Hertel et al., 2019). Procedimientos médicos rutinarios, como punciones de talón, colocación de vías y aspiraciones, exponen a los neonatos a altos niveles de dolor, lo que subraya la necesidad de implementar estrategias de manejo efectivas para minimizar el sufrimiento y garantizar su bienestar.</w:t>
      </w:r>
    </w:p>
    <w:p w14:paraId="7D2DC43E">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firstLineChars="0"/>
        <w:jc w:val="both"/>
        <w:textAlignment w:val="auto"/>
        <w:rPr>
          <w:rFonts w:hint="default"/>
          <w:sz w:val="22"/>
          <w:szCs w:val="21"/>
          <w:lang w:val="es-PE"/>
        </w:rPr>
      </w:pPr>
      <w:r>
        <w:rPr>
          <w:rFonts w:hint="default"/>
          <w:sz w:val="22"/>
          <w:szCs w:val="21"/>
          <w:lang w:val="es-PE"/>
        </w:rPr>
        <w:t>La falta de un manejo adecuado del dolor neonatal puede acarrear consecuencias adversas tanto a corto como a largo plazo, incluyendo alteraciones en el desarrollo neurológico y del comportamiento. Estas implicaciones refuerzan la importancia del rol del personal de enfermería en la identificación y manejo del dolor neonatal. Estudios recientes destacan que las enfermeras desempeñan un papel crucial en esta labor mediante el uso de métodos basados en la observación de señales conductuales y fisiológicas. Sin embargo, la ausencia de protocolos estandarizados continúa siendo una limitación significativa en la práctica clínica (Azevedo et al., 2019; Puma-Quito et al., 2021).</w:t>
      </w:r>
    </w:p>
    <w:p w14:paraId="42F9BADD">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firstLineChars="0"/>
        <w:jc w:val="both"/>
        <w:textAlignment w:val="auto"/>
        <w:rPr>
          <w:rFonts w:hint="default"/>
          <w:sz w:val="22"/>
          <w:szCs w:val="21"/>
          <w:lang w:val="es-PE"/>
        </w:rPr>
      </w:pPr>
      <w:r>
        <w:rPr>
          <w:rFonts w:hint="default"/>
          <w:sz w:val="22"/>
          <w:szCs w:val="21"/>
          <w:lang w:val="es-PE"/>
        </w:rPr>
        <w:t>La literatura actual evidencia un creciente interés por estrategias no farmacológicas debido a su efectividad y seguridad en comparación con los métodos farmacológicos. Intervenciones como el contacto piel con piel, la administración de soluciones dulces y la succión no nutritiva han demostrado ser eficaces en la reducción de las respuestas al dolor neonatal. No obstante, persisten desafíos relacionados con la integración de estas prácticas en los protocolos hospitalarios y la capacitación del personal de enfermería para su implementación sistemática (Puma-Quito et al., 2021).</w:t>
      </w:r>
    </w:p>
    <w:p w14:paraId="39720197">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firstLineChars="0"/>
        <w:jc w:val="both"/>
        <w:textAlignment w:val="auto"/>
        <w:rPr>
          <w:rFonts w:hint="default"/>
          <w:sz w:val="22"/>
          <w:szCs w:val="21"/>
          <w:lang w:val="es-ES"/>
        </w:rPr>
      </w:pPr>
      <w:r>
        <w:rPr>
          <w:rFonts w:hint="default"/>
          <w:sz w:val="22"/>
          <w:szCs w:val="21"/>
          <w:lang w:val="es-PE"/>
        </w:rPr>
        <w:t>Este estudio tiene como objetivo analizar y sintetizar las estrategias efectivas de enfermería para la gestión del dolor neonatal en procedimientos invasivos. Estas estrategias se han organizado en tres categorías principales: intervenciones no farmacológicas, el rol del personal de enfermería en la evaluación del dolor, y el impacto de estas prácticas en la salud neonatal. Al identificar las evidencias más recientes, esta revisión busca contribuir al desarrollo de un marco de referencia que fortalezca la práctica clínica y promueva un manejo del dolor neonatal fundamentado en evidencia científica.</w:t>
      </w:r>
    </w:p>
    <w:p w14:paraId="768B8A5F">
      <w:pPr>
        <w:keepNext w:val="0"/>
        <w:keepLines w:val="0"/>
        <w:pageBreakBefore w:val="0"/>
        <w:widowControl/>
        <w:kinsoku/>
        <w:wordWrap/>
        <w:overflowPunct/>
        <w:topLinePunct w:val="0"/>
        <w:autoSpaceDE/>
        <w:autoSpaceDN/>
        <w:bidi w:val="0"/>
        <w:adjustRightInd/>
        <w:snapToGrid/>
        <w:spacing w:before="361" w:beforeLines="100" w:after="181" w:afterLines="50" w:line="240" w:lineRule="auto"/>
        <w:textAlignment w:val="auto"/>
        <w:rPr>
          <w:rFonts w:hint="default"/>
          <w:b/>
          <w:bCs/>
          <w:sz w:val="24"/>
          <w:szCs w:val="22"/>
          <w:lang w:val="es-ES"/>
        </w:rPr>
      </w:pPr>
      <w:r>
        <w:rPr>
          <w:rFonts w:hint="default"/>
          <w:b/>
          <w:bCs/>
          <w:sz w:val="24"/>
          <w:szCs w:val="22"/>
          <w:lang w:val="es-ES"/>
        </w:rPr>
        <w:t>Materiales y  métodos</w:t>
      </w:r>
    </w:p>
    <w:p w14:paraId="708581D7">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eastAsia="Times New Roman" w:cs="Calibri"/>
          <w:sz w:val="22"/>
          <w:szCs w:val="22"/>
          <w:lang w:val="es"/>
        </w:rPr>
      </w:pPr>
      <w:r>
        <w:rPr>
          <w:rFonts w:hint="default" w:ascii="Calibri" w:hAnsi="Calibri" w:eastAsia="Times New Roman" w:cs="Calibri"/>
          <w:sz w:val="22"/>
          <w:szCs w:val="22"/>
          <w:lang w:val="es"/>
        </w:rPr>
        <w:t>La metodología empleada en esta investigación corresponde a una revisión bibliográfica integrativa, diseñada para analizar y sintetizar literatura relevante sobre estrategias de enfermería para la gestión del dolor neonatal durante procedimientos invasivos. Los estudios seleccionados se publicaron entre 2019 y 2024, en inglés y español, y fueron accesibles en texto completo desde bases de datos reconocidas como PubMed, Google Scholar y Scielo.</w:t>
      </w:r>
    </w:p>
    <w:p w14:paraId="4CD30353">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eastAsia="Times New Roman" w:cs="Calibri"/>
          <w:sz w:val="22"/>
          <w:szCs w:val="22"/>
          <w:lang w:val="es"/>
        </w:rPr>
      </w:pPr>
      <w:r>
        <w:rPr>
          <w:rFonts w:hint="default" w:ascii="Calibri" w:hAnsi="Calibri" w:eastAsia="Times New Roman" w:cs="Calibri"/>
          <w:sz w:val="22"/>
          <w:szCs w:val="22"/>
          <w:lang w:val="es"/>
        </w:rPr>
        <w:t>La búsqueda se realizó utilizando operadores booleanos y términos clave relacionados con el manejo del dolor neonatal, las intervenciones no farmacológicas y las herramientas de evaluación (</w:t>
      </w:r>
      <w:r>
        <w:rPr>
          <w:rFonts w:hint="default" w:eastAsia="Times New Roman" w:cs="Calibri"/>
          <w:sz w:val="22"/>
          <w:szCs w:val="22"/>
          <w:lang w:val="es-ES"/>
        </w:rPr>
        <w:t>T</w:t>
      </w:r>
      <w:r>
        <w:rPr>
          <w:rFonts w:hint="default" w:ascii="Calibri" w:hAnsi="Calibri" w:eastAsia="Times New Roman" w:cs="Calibri"/>
          <w:sz w:val="22"/>
          <w:szCs w:val="22"/>
          <w:lang w:val="es"/>
        </w:rPr>
        <w:t>abla 1). El proceso de selección siguió el método PRISMA, abordando las etapas de identificación, tamizaje e inclusión, para garantizar la calidad y relevancia de los artículos seleccionados (</w:t>
      </w:r>
      <w:r>
        <w:rPr>
          <w:rFonts w:hint="default" w:eastAsia="Times New Roman" w:cs="Calibri"/>
          <w:sz w:val="22"/>
          <w:szCs w:val="22"/>
          <w:lang w:val="es-ES"/>
        </w:rPr>
        <w:t>F</w:t>
      </w:r>
      <w:r>
        <w:rPr>
          <w:rFonts w:hint="default" w:ascii="Calibri" w:hAnsi="Calibri" w:eastAsia="Times New Roman" w:cs="Calibri"/>
          <w:sz w:val="22"/>
          <w:szCs w:val="22"/>
          <w:lang w:val="es"/>
        </w:rPr>
        <w:t>igura 1).</w:t>
      </w:r>
    </w:p>
    <w:p w14:paraId="0D3C3504">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eastAsia="Times New Roman" w:cs="Calibri"/>
          <w:sz w:val="22"/>
          <w:szCs w:val="22"/>
          <w:lang w:val="es"/>
        </w:rPr>
      </w:pPr>
      <w:r>
        <w:rPr>
          <w:rFonts w:hint="default" w:ascii="Calibri" w:hAnsi="Calibri" w:eastAsia="Times New Roman" w:cs="Calibri"/>
          <w:sz w:val="22"/>
          <w:szCs w:val="22"/>
          <w:lang w:val="es"/>
        </w:rPr>
        <w:t>Los datos extraídos se organizaron en tres categorías temáticas principales: estrategias no farmacológicas aplicadas en neonatos, rol del personal de enfermería en la evaluación del dolor neonatal e impacto de las intervenciones en los resultados neonatales. Además, se integraron análisis descriptivos cuantitativos, como el cálculo de porcentajes para reflejar la frecuencia de uso de herramientas de evaluación y la distribución de estrategias no farmacológicas en los estudios revisados.</w:t>
      </w:r>
      <w:r>
        <w:rPr>
          <w:rFonts w:hint="default" w:eastAsia="Times New Roman" w:cs="Calibri"/>
          <w:sz w:val="22"/>
          <w:szCs w:val="22"/>
          <w:lang w:val="es-ES"/>
        </w:rPr>
        <w:t xml:space="preserve"> </w:t>
      </w:r>
      <w:r>
        <w:rPr>
          <w:rFonts w:hint="default" w:ascii="Calibri" w:hAnsi="Calibri" w:eastAsia="Times New Roman" w:cs="Calibri"/>
          <w:sz w:val="22"/>
          <w:szCs w:val="22"/>
          <w:lang w:val="es"/>
        </w:rPr>
        <w:t>Este enfoque metodológico combina elementos cualitativos y cuantitativos, permitiendo una interpretación exhaustiva de las evidencias y aportando conclusiones aplicables a la práctica clínica, con énfasis en la implementación de estrategias basadas en evidencia y el desarrollo de protocolos más efectivos en la gestión del dolor neonatal.</w:t>
      </w:r>
    </w:p>
    <w:p w14:paraId="59CA975E">
      <w:pPr>
        <w:keepNext w:val="0"/>
        <w:keepLines w:val="0"/>
        <w:pageBreakBefore w:val="0"/>
        <w:widowControl/>
        <w:kinsoku/>
        <w:wordWrap/>
        <w:overflowPunct/>
        <w:topLinePunct w:val="0"/>
        <w:autoSpaceDE/>
        <w:autoSpaceDN/>
        <w:bidi w:val="0"/>
        <w:adjustRightInd/>
        <w:snapToGrid/>
        <w:spacing w:before="361" w:beforeLines="100" w:after="181" w:afterLines="50" w:line="240" w:lineRule="auto"/>
        <w:textAlignment w:val="auto"/>
        <w:rPr>
          <w:rFonts w:hint="default" w:ascii="Calibri" w:hAnsi="Calibri" w:eastAsia="Times New Roman" w:cs="Calibri"/>
          <w:b/>
          <w:bCs/>
          <w:sz w:val="22"/>
          <w:szCs w:val="22"/>
          <w:lang w:val="es-EC"/>
        </w:rPr>
      </w:pPr>
      <w:r>
        <w:rPr>
          <w:rFonts w:hint="default" w:ascii="Calibri" w:hAnsi="Calibri" w:eastAsia="Times New Roman" w:cs="Calibri"/>
          <w:b w:val="0"/>
          <w:bCs w:val="0"/>
          <w:sz w:val="22"/>
          <w:szCs w:val="22"/>
          <w:lang w:val="es-EC"/>
        </w:rPr>
        <w:t xml:space="preserve">Tabla </w:t>
      </w:r>
      <w:r>
        <w:rPr>
          <w:rFonts w:hint="default" w:eastAsia="Times New Roman" w:cs="Calibri"/>
          <w:b w:val="0"/>
          <w:bCs w:val="0"/>
          <w:sz w:val="22"/>
          <w:szCs w:val="22"/>
          <w:lang w:val="es-ES"/>
        </w:rPr>
        <w:t xml:space="preserve">1. </w:t>
      </w:r>
      <w:r>
        <w:rPr>
          <w:rFonts w:hint="default" w:ascii="Calibri" w:hAnsi="Calibri" w:eastAsia="Times New Roman" w:cs="Calibri"/>
          <w:b w:val="0"/>
          <w:bCs w:val="0"/>
          <w:sz w:val="22"/>
          <w:szCs w:val="22"/>
          <w:lang w:val="es-EC"/>
        </w:rPr>
        <w:t xml:space="preserve"> </w:t>
      </w:r>
      <w:r>
        <w:rPr>
          <w:rFonts w:hint="default" w:eastAsia="Times New Roman" w:cs="Calibri"/>
          <w:b w:val="0"/>
          <w:bCs w:val="0"/>
          <w:i/>
          <w:iCs/>
          <w:sz w:val="22"/>
          <w:szCs w:val="22"/>
          <w:lang w:val="es-ES"/>
        </w:rPr>
        <w:t>O</w:t>
      </w:r>
      <w:r>
        <w:rPr>
          <w:rFonts w:hint="default" w:ascii="Calibri" w:hAnsi="Calibri" w:eastAsia="Times New Roman" w:cs="Calibri"/>
          <w:b w:val="0"/>
          <w:bCs w:val="0"/>
          <w:i/>
          <w:iCs/>
          <w:sz w:val="22"/>
          <w:szCs w:val="22"/>
          <w:lang w:val="es-EC"/>
        </w:rPr>
        <w:t>peradores booleanos y artículos extraídos</w:t>
      </w:r>
    </w:p>
    <w:tbl>
      <w:tblPr>
        <w:tblStyle w:val="65"/>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75"/>
        <w:gridCol w:w="6286"/>
        <w:gridCol w:w="1759"/>
      </w:tblGrid>
      <w:tr w14:paraId="4D9D689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75" w:type="dxa"/>
            <w:tcBorders>
              <w:top w:val="single" w:color="000000" w:sz="8" w:space="0"/>
              <w:left w:val="single" w:color="000000" w:sz="8" w:space="0"/>
              <w:bottom w:val="single" w:color="000000" w:sz="8" w:space="0"/>
              <w:right w:val="dotted" w:color="auto" w:sz="0" w:space="0"/>
              <w:insideH w:val="single" w:sz="4" w:space="0"/>
            </w:tcBorders>
            <w:shd w:val="clear" w:color="auto" w:fill="000000"/>
          </w:tcPr>
          <w:p w14:paraId="0DA87318">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hint="default" w:ascii="Calibri" w:hAnsi="Calibri" w:eastAsia="Times New Roman" w:cs="Calibri"/>
                <w:b w:val="0"/>
                <w:bCs w:val="0"/>
                <w:color w:val="FFFFFF"/>
                <w:sz w:val="18"/>
                <w:szCs w:val="18"/>
                <w:lang w:val="es-EC"/>
              </w:rPr>
            </w:pPr>
            <w:r>
              <w:rPr>
                <w:rFonts w:hint="default" w:ascii="Calibri" w:hAnsi="Calibri" w:eastAsia="Times New Roman" w:cs="Calibri"/>
                <w:b w:val="0"/>
                <w:bCs w:val="0"/>
                <w:color w:val="FFFFFF"/>
                <w:sz w:val="18"/>
                <w:szCs w:val="18"/>
                <w:lang w:val="es-EC"/>
              </w:rPr>
              <w:t>Base de Datos</w:t>
            </w:r>
          </w:p>
        </w:tc>
        <w:tc>
          <w:tcPr>
            <w:tcW w:w="6286" w:type="dxa"/>
            <w:tcBorders>
              <w:top w:val="single" w:color="000000" w:sz="8" w:space="0"/>
              <w:left w:val="dotted" w:color="auto" w:sz="0" w:space="0"/>
              <w:bottom w:val="single" w:color="000000" w:sz="8" w:space="0"/>
              <w:right w:val="dotted" w:color="auto" w:sz="0" w:space="0"/>
              <w:insideH w:val="single" w:sz="4" w:space="0"/>
            </w:tcBorders>
            <w:shd w:val="clear" w:color="auto" w:fill="000000"/>
          </w:tcPr>
          <w:p w14:paraId="12540E1A">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hint="default" w:ascii="Calibri" w:hAnsi="Calibri" w:eastAsia="Times New Roman" w:cs="Calibri"/>
                <w:b w:val="0"/>
                <w:bCs w:val="0"/>
                <w:color w:val="FFFFFF"/>
                <w:sz w:val="18"/>
                <w:szCs w:val="18"/>
                <w:lang w:val="es-EC"/>
              </w:rPr>
            </w:pPr>
            <w:r>
              <w:rPr>
                <w:rFonts w:hint="default" w:ascii="Calibri" w:hAnsi="Calibri" w:eastAsia="Times New Roman" w:cs="Calibri"/>
                <w:b w:val="0"/>
                <w:bCs w:val="0"/>
                <w:color w:val="FFFFFF"/>
                <w:sz w:val="18"/>
                <w:szCs w:val="18"/>
                <w:lang w:val="es-EC"/>
              </w:rPr>
              <w:t>Operadores Booleanos</w:t>
            </w:r>
          </w:p>
        </w:tc>
        <w:tc>
          <w:tcPr>
            <w:tcW w:w="1759" w:type="dxa"/>
            <w:tcBorders>
              <w:top w:val="single" w:color="000000" w:sz="8" w:space="0"/>
              <w:left w:val="dotted" w:color="auto" w:sz="0" w:space="0"/>
              <w:bottom w:val="single" w:color="000000" w:sz="8" w:space="0"/>
              <w:right w:val="single" w:color="000000" w:sz="8" w:space="0"/>
              <w:insideH w:val="single" w:sz="4" w:space="0"/>
            </w:tcBorders>
            <w:shd w:val="clear" w:color="auto" w:fill="000000"/>
          </w:tcPr>
          <w:p w14:paraId="3DADBFA1">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eastAsia="Times New Roman" w:cs="Calibri"/>
                <w:b w:val="0"/>
                <w:bCs w:val="0"/>
                <w:color w:val="FFFFFF"/>
                <w:sz w:val="18"/>
                <w:szCs w:val="18"/>
                <w:lang w:val="es-EC"/>
              </w:rPr>
            </w:pPr>
            <w:r>
              <w:rPr>
                <w:rFonts w:hint="default" w:ascii="Calibri" w:hAnsi="Calibri" w:eastAsia="Times New Roman" w:cs="Calibri"/>
                <w:b w:val="0"/>
                <w:bCs w:val="0"/>
                <w:color w:val="FFFFFF"/>
                <w:sz w:val="18"/>
                <w:szCs w:val="18"/>
                <w:lang w:val="es-EC"/>
              </w:rPr>
              <w:t>Artículos Extraídos</w:t>
            </w:r>
          </w:p>
        </w:tc>
      </w:tr>
      <w:tr w14:paraId="65187DA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75" w:type="dxa"/>
            <w:tcBorders>
              <w:top w:val="single" w:color="000000" w:sz="8" w:space="0"/>
              <w:left w:val="single" w:color="000000" w:sz="8" w:space="0"/>
              <w:bottom w:val="single" w:color="000000" w:sz="8" w:space="0"/>
              <w:right w:val="dotted" w:color="auto" w:sz="0" w:space="0"/>
              <w:insideH w:val="single" w:sz="4" w:space="0"/>
            </w:tcBorders>
            <w:shd w:val="clear" w:color="auto" w:fill="FFFFFF"/>
          </w:tcPr>
          <w:p w14:paraId="2AC15DCA">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hint="default" w:ascii="Calibri" w:hAnsi="Calibri" w:eastAsia="Times New Roman" w:cs="Calibri"/>
                <w:b w:val="0"/>
                <w:bCs w:val="0"/>
                <w:color w:val="000000"/>
                <w:sz w:val="18"/>
                <w:szCs w:val="18"/>
                <w:lang w:val="es-EC"/>
              </w:rPr>
            </w:pPr>
            <w:r>
              <w:rPr>
                <w:rFonts w:hint="default" w:ascii="Calibri" w:hAnsi="Calibri" w:eastAsia="Times New Roman" w:cs="Calibri"/>
                <w:b w:val="0"/>
                <w:bCs w:val="0"/>
                <w:color w:val="000000"/>
                <w:sz w:val="18"/>
                <w:szCs w:val="18"/>
                <w:lang w:val="es-EC"/>
              </w:rPr>
              <w:t>Google Scholar</w:t>
            </w:r>
          </w:p>
        </w:tc>
        <w:tc>
          <w:tcPr>
            <w:tcW w:w="6286" w:type="dxa"/>
            <w:tcBorders>
              <w:top w:val="single" w:color="000000" w:sz="8" w:space="0"/>
              <w:left w:val="dotted" w:color="auto" w:sz="0" w:space="0"/>
              <w:bottom w:val="single" w:color="000000" w:sz="8" w:space="0"/>
              <w:right w:val="dotted" w:color="auto" w:sz="0" w:space="0"/>
              <w:insideH w:val="single" w:sz="4" w:space="0"/>
            </w:tcBorders>
            <w:shd w:val="clear" w:color="auto" w:fill="FFFFFF"/>
          </w:tcPr>
          <w:p w14:paraId="5737E36D">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hint="default" w:ascii="Calibri" w:hAnsi="Calibri" w:eastAsia="Times New Roman" w:cs="Calibri"/>
                <w:color w:val="000000"/>
                <w:sz w:val="18"/>
                <w:szCs w:val="18"/>
                <w:lang w:val="en-US"/>
              </w:rPr>
            </w:pPr>
            <w:r>
              <w:rPr>
                <w:rFonts w:hint="default" w:ascii="Calibri" w:hAnsi="Calibri" w:eastAsia="Times New Roman" w:cs="Calibri"/>
                <w:color w:val="000000"/>
                <w:sz w:val="18"/>
                <w:szCs w:val="18"/>
                <w:lang w:val="en-US"/>
              </w:rPr>
              <w:t>("neonatal pain management" OR "newborn pain") AND ("nursing strategies" OR "nursing interventions") AND ("non-pharmacological interventions" OR "pain assessment")</w:t>
            </w:r>
          </w:p>
        </w:tc>
        <w:tc>
          <w:tcPr>
            <w:tcW w:w="1759" w:type="dxa"/>
            <w:tcBorders>
              <w:top w:val="single" w:color="000000" w:sz="8" w:space="0"/>
              <w:left w:val="dotted" w:color="auto" w:sz="0" w:space="0"/>
              <w:bottom w:val="single" w:color="000000" w:sz="8" w:space="0"/>
              <w:right w:val="single" w:color="000000" w:sz="8" w:space="0"/>
              <w:insideH w:val="single" w:sz="4" w:space="0"/>
            </w:tcBorders>
            <w:shd w:val="clear" w:color="auto" w:fill="FFFFFF"/>
          </w:tcPr>
          <w:p w14:paraId="161CACA9">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eastAsia="Times New Roman" w:cs="Calibri"/>
                <w:color w:val="000000"/>
                <w:sz w:val="18"/>
                <w:szCs w:val="18"/>
                <w:lang w:val="es-EC"/>
              </w:rPr>
            </w:pPr>
            <w:r>
              <w:rPr>
                <w:rFonts w:hint="default" w:ascii="Calibri" w:hAnsi="Calibri" w:eastAsia="Times New Roman" w:cs="Calibri"/>
                <w:color w:val="000000"/>
                <w:sz w:val="18"/>
                <w:szCs w:val="18"/>
                <w:lang w:val="es-EC"/>
              </w:rPr>
              <w:t>120</w:t>
            </w:r>
          </w:p>
        </w:tc>
      </w:tr>
      <w:tr w14:paraId="6966DB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75" w:type="dxa"/>
            <w:tcBorders>
              <w:top w:val="single" w:color="000000" w:sz="8" w:space="0"/>
              <w:left w:val="single" w:color="000000" w:sz="8" w:space="0"/>
              <w:bottom w:val="single" w:color="000000" w:sz="8" w:space="0"/>
              <w:right w:val="dotted" w:color="auto" w:sz="0" w:space="0"/>
            </w:tcBorders>
            <w:shd w:val="clear" w:color="auto" w:fill="FFFFFF"/>
          </w:tcPr>
          <w:p w14:paraId="77983FBC">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hint="default" w:ascii="Calibri" w:hAnsi="Calibri" w:eastAsia="Times New Roman" w:cs="Calibri"/>
                <w:b w:val="0"/>
                <w:bCs w:val="0"/>
                <w:color w:val="000000"/>
                <w:sz w:val="18"/>
                <w:szCs w:val="18"/>
                <w:lang w:val="es-EC"/>
              </w:rPr>
            </w:pPr>
            <w:r>
              <w:rPr>
                <w:rFonts w:hint="default" w:ascii="Calibri" w:hAnsi="Calibri" w:eastAsia="Times New Roman" w:cs="Calibri"/>
                <w:b w:val="0"/>
                <w:bCs w:val="0"/>
                <w:color w:val="000000"/>
                <w:sz w:val="18"/>
                <w:szCs w:val="18"/>
                <w:lang w:val="es-EC"/>
              </w:rPr>
              <w:t>PubMed</w:t>
            </w:r>
          </w:p>
        </w:tc>
        <w:tc>
          <w:tcPr>
            <w:tcW w:w="6286" w:type="dxa"/>
            <w:tcBorders>
              <w:top w:val="single" w:color="000000" w:sz="8" w:space="0"/>
              <w:left w:val="dotted" w:color="auto" w:sz="0" w:space="0"/>
              <w:bottom w:val="single" w:color="000000" w:sz="8" w:space="0"/>
              <w:right w:val="dotted" w:color="auto" w:sz="0" w:space="0"/>
            </w:tcBorders>
            <w:shd w:val="clear" w:color="auto" w:fill="FFFFFF"/>
          </w:tcPr>
          <w:p w14:paraId="26D1FC9E">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hint="default" w:ascii="Calibri" w:hAnsi="Calibri" w:eastAsia="Times New Roman" w:cs="Calibri"/>
                <w:color w:val="000000"/>
                <w:sz w:val="18"/>
                <w:szCs w:val="18"/>
                <w:lang w:val="en-US"/>
              </w:rPr>
            </w:pPr>
            <w:r>
              <w:rPr>
                <w:rFonts w:hint="default" w:ascii="Calibri" w:hAnsi="Calibri" w:eastAsia="Times New Roman" w:cs="Calibri"/>
                <w:color w:val="000000"/>
                <w:sz w:val="18"/>
                <w:szCs w:val="18"/>
                <w:lang w:val="en-US"/>
              </w:rPr>
              <w:t>("neonatal pain" OR "newborn pain") AND ("nursing care" OR "nursing intervention") AND ("non-pharmacological methods" OR "pain scales")</w:t>
            </w:r>
          </w:p>
        </w:tc>
        <w:tc>
          <w:tcPr>
            <w:tcW w:w="1759" w:type="dxa"/>
            <w:tcBorders>
              <w:top w:val="single" w:color="000000" w:sz="8" w:space="0"/>
              <w:left w:val="dotted" w:color="auto" w:sz="0" w:space="0"/>
              <w:bottom w:val="single" w:color="000000" w:sz="8" w:space="0"/>
              <w:right w:val="single" w:color="000000" w:sz="8" w:space="0"/>
            </w:tcBorders>
            <w:shd w:val="clear" w:color="auto" w:fill="FFFFFF"/>
          </w:tcPr>
          <w:p w14:paraId="60D513D6">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eastAsia="Times New Roman" w:cs="Calibri"/>
                <w:color w:val="000000"/>
                <w:sz w:val="18"/>
                <w:szCs w:val="18"/>
                <w:lang w:val="es-EC"/>
              </w:rPr>
            </w:pPr>
            <w:r>
              <w:rPr>
                <w:rFonts w:hint="default" w:ascii="Calibri" w:hAnsi="Calibri" w:eastAsia="Times New Roman" w:cs="Calibri"/>
                <w:color w:val="000000"/>
                <w:sz w:val="18"/>
                <w:szCs w:val="18"/>
                <w:lang w:val="es-EC"/>
              </w:rPr>
              <w:t>90</w:t>
            </w:r>
          </w:p>
        </w:tc>
      </w:tr>
      <w:tr w14:paraId="5067A7B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75" w:type="dxa"/>
            <w:tcBorders>
              <w:top w:val="single" w:color="000000" w:sz="8" w:space="0"/>
              <w:left w:val="single" w:color="000000" w:sz="8" w:space="0"/>
              <w:bottom w:val="single" w:color="000000" w:sz="8" w:space="0"/>
              <w:right w:val="dotted" w:color="auto" w:sz="0" w:space="0"/>
              <w:insideH w:val="single" w:sz="4" w:space="0"/>
            </w:tcBorders>
            <w:shd w:val="clear" w:color="auto" w:fill="FFFFFF"/>
          </w:tcPr>
          <w:p w14:paraId="2A0AFFE5">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hint="default" w:ascii="Calibri" w:hAnsi="Calibri" w:eastAsia="Times New Roman" w:cs="Calibri"/>
                <w:b w:val="0"/>
                <w:bCs w:val="0"/>
                <w:color w:val="000000"/>
                <w:sz w:val="18"/>
                <w:szCs w:val="18"/>
                <w:lang w:val="es-EC"/>
              </w:rPr>
            </w:pPr>
            <w:r>
              <w:rPr>
                <w:rFonts w:hint="default" w:ascii="Calibri" w:hAnsi="Calibri" w:eastAsia="Times New Roman" w:cs="Calibri"/>
                <w:b w:val="0"/>
                <w:bCs w:val="0"/>
                <w:color w:val="000000"/>
                <w:sz w:val="18"/>
                <w:szCs w:val="18"/>
                <w:lang w:val="es-EC"/>
              </w:rPr>
              <w:t>Scielo</w:t>
            </w:r>
          </w:p>
        </w:tc>
        <w:tc>
          <w:tcPr>
            <w:tcW w:w="6286" w:type="dxa"/>
            <w:tcBorders>
              <w:top w:val="single" w:color="000000" w:sz="8" w:space="0"/>
              <w:left w:val="dotted" w:color="auto" w:sz="0" w:space="0"/>
              <w:bottom w:val="single" w:color="000000" w:sz="8" w:space="0"/>
              <w:right w:val="dotted" w:color="auto" w:sz="0" w:space="0"/>
              <w:insideH w:val="single" w:sz="4" w:space="0"/>
            </w:tcBorders>
            <w:shd w:val="clear" w:color="auto" w:fill="FFFFFF"/>
          </w:tcPr>
          <w:p w14:paraId="0307C56B">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hint="default" w:ascii="Calibri" w:hAnsi="Calibri" w:eastAsia="Times New Roman" w:cs="Calibri"/>
                <w:color w:val="000000"/>
                <w:sz w:val="18"/>
                <w:szCs w:val="18"/>
                <w:lang w:val="es-EC"/>
              </w:rPr>
            </w:pPr>
            <w:r>
              <w:rPr>
                <w:rFonts w:hint="default" w:ascii="Calibri" w:hAnsi="Calibri" w:eastAsia="Times New Roman" w:cs="Calibri"/>
                <w:color w:val="000000"/>
                <w:sz w:val="18"/>
                <w:szCs w:val="18"/>
                <w:lang w:val="es-EC"/>
              </w:rPr>
              <w:t>("manejo del dolor neonatal" OR "gestión del dolor en recién nacidos") AND ("estrategias de enfermería" OR "intervenciones de enfermería") AND ("intervenciones no farmacológicas" OR "evaluación del dolor")</w:t>
            </w:r>
          </w:p>
        </w:tc>
        <w:tc>
          <w:tcPr>
            <w:tcW w:w="1759" w:type="dxa"/>
            <w:tcBorders>
              <w:top w:val="single" w:color="000000" w:sz="8" w:space="0"/>
              <w:left w:val="dotted" w:color="auto" w:sz="0" w:space="0"/>
              <w:bottom w:val="single" w:color="000000" w:sz="8" w:space="0"/>
              <w:right w:val="single" w:color="000000" w:sz="8" w:space="0"/>
              <w:insideH w:val="single" w:sz="4" w:space="0"/>
            </w:tcBorders>
            <w:shd w:val="clear" w:color="auto" w:fill="FFFFFF"/>
          </w:tcPr>
          <w:p w14:paraId="5C2D4973">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eastAsia="Times New Roman" w:cs="Calibri"/>
                <w:color w:val="000000"/>
                <w:sz w:val="18"/>
                <w:szCs w:val="18"/>
                <w:lang w:val="es-EC"/>
              </w:rPr>
            </w:pPr>
            <w:r>
              <w:rPr>
                <w:rFonts w:hint="default" w:ascii="Calibri" w:hAnsi="Calibri" w:eastAsia="Times New Roman" w:cs="Calibri"/>
                <w:color w:val="000000"/>
                <w:sz w:val="18"/>
                <w:szCs w:val="18"/>
                <w:lang w:val="es-EC"/>
              </w:rPr>
              <w:t>60</w:t>
            </w:r>
          </w:p>
        </w:tc>
      </w:tr>
    </w:tbl>
    <w:p w14:paraId="4E794C47">
      <w:pPr>
        <w:pStyle w:val="3"/>
        <w:keepNext w:val="0"/>
        <w:keepLines w:val="0"/>
        <w:pageBreakBefore w:val="0"/>
        <w:widowControl/>
        <w:kinsoku/>
        <w:wordWrap/>
        <w:overflowPunct/>
        <w:topLinePunct w:val="0"/>
        <w:autoSpaceDE/>
        <w:autoSpaceDN/>
        <w:bidi w:val="0"/>
        <w:adjustRightInd/>
        <w:snapToGrid/>
        <w:spacing w:before="181" w:beforeLines="50" w:line="240" w:lineRule="auto"/>
        <w:ind w:firstLine="720"/>
        <w:textAlignment w:val="auto"/>
        <w:rPr>
          <w:rFonts w:hint="default" w:ascii="Calibri" w:hAnsi="Calibri"/>
          <w:sz w:val="22"/>
          <w:szCs w:val="22"/>
          <w:lang w:val="es"/>
        </w:rPr>
      </w:pPr>
      <w:r>
        <w:rPr>
          <w:rFonts w:hint="default" w:ascii="Calibri" w:hAnsi="Calibri" w:cs="Calibri"/>
          <w:sz w:val="22"/>
          <w:szCs w:val="22"/>
          <w:lang w:val="es-MX" w:eastAsia="es-MX"/>
        </w:rPr>
        <w:drawing>
          <wp:anchor distT="0" distB="0" distL="114300" distR="114300" simplePos="0" relativeHeight="251659264" behindDoc="0" locked="0" layoutInCell="1" allowOverlap="1">
            <wp:simplePos x="0" y="0"/>
            <wp:positionH relativeFrom="column">
              <wp:posOffset>464185</wp:posOffset>
            </wp:positionH>
            <wp:positionV relativeFrom="paragraph">
              <wp:posOffset>190500</wp:posOffset>
            </wp:positionV>
            <wp:extent cx="4465320" cy="4371340"/>
            <wp:effectExtent l="0" t="0" r="0" b="254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8" cstate="print">
                      <a:extLst>
                        <a:ext uri="{28A0092B-C50C-407E-A947-70E740481C1C}">
                          <a14:useLocalDpi xmlns:a14="http://schemas.microsoft.com/office/drawing/2010/main" val="0"/>
                        </a:ext>
                      </a:extLst>
                    </a:blip>
                    <a:srcRect r="29199"/>
                    <a:stretch>
                      <a:fillRect/>
                    </a:stretch>
                  </pic:blipFill>
                  <pic:spPr>
                    <a:xfrm>
                      <a:off x="0" y="0"/>
                      <a:ext cx="4465320" cy="4371340"/>
                    </a:xfrm>
                    <a:prstGeom prst="rect">
                      <a:avLst/>
                    </a:prstGeom>
                    <a:noFill/>
                    <a:ln>
                      <a:noFill/>
                    </a:ln>
                  </pic:spPr>
                </pic:pic>
              </a:graphicData>
            </a:graphic>
          </wp:anchor>
        </w:drawing>
      </w:r>
    </w:p>
    <w:p w14:paraId="530831DD">
      <w:pPr>
        <w:pStyle w:val="3"/>
        <w:keepNext w:val="0"/>
        <w:keepLines w:val="0"/>
        <w:pageBreakBefore w:val="0"/>
        <w:widowControl/>
        <w:kinsoku/>
        <w:wordWrap/>
        <w:overflowPunct/>
        <w:topLinePunct w:val="0"/>
        <w:autoSpaceDE/>
        <w:autoSpaceDN/>
        <w:bidi w:val="0"/>
        <w:adjustRightInd/>
        <w:snapToGrid/>
        <w:spacing w:before="181" w:beforeLines="50" w:line="240" w:lineRule="auto"/>
        <w:ind w:firstLine="720"/>
        <w:textAlignment w:val="auto"/>
        <w:rPr>
          <w:rFonts w:hint="default" w:ascii="Calibri" w:hAnsi="Calibri"/>
          <w:sz w:val="22"/>
          <w:szCs w:val="22"/>
          <w:lang w:val="es"/>
        </w:rPr>
      </w:pPr>
    </w:p>
    <w:p w14:paraId="340413A6">
      <w:pPr>
        <w:pStyle w:val="3"/>
        <w:keepNext w:val="0"/>
        <w:keepLines w:val="0"/>
        <w:pageBreakBefore w:val="0"/>
        <w:widowControl/>
        <w:kinsoku/>
        <w:wordWrap/>
        <w:overflowPunct/>
        <w:topLinePunct w:val="0"/>
        <w:autoSpaceDE/>
        <w:autoSpaceDN/>
        <w:bidi w:val="0"/>
        <w:adjustRightInd/>
        <w:snapToGrid/>
        <w:spacing w:before="181" w:beforeLines="50" w:line="240" w:lineRule="auto"/>
        <w:ind w:firstLine="720"/>
        <w:textAlignment w:val="auto"/>
        <w:rPr>
          <w:rFonts w:hint="default" w:ascii="Calibri" w:hAnsi="Calibri"/>
          <w:sz w:val="22"/>
          <w:szCs w:val="22"/>
          <w:lang w:val="es"/>
        </w:rPr>
      </w:pPr>
    </w:p>
    <w:p w14:paraId="673F0EFE">
      <w:pPr>
        <w:pStyle w:val="3"/>
        <w:keepNext w:val="0"/>
        <w:keepLines w:val="0"/>
        <w:pageBreakBefore w:val="0"/>
        <w:widowControl/>
        <w:kinsoku/>
        <w:wordWrap/>
        <w:overflowPunct/>
        <w:topLinePunct w:val="0"/>
        <w:autoSpaceDE/>
        <w:autoSpaceDN/>
        <w:bidi w:val="0"/>
        <w:adjustRightInd/>
        <w:snapToGrid/>
        <w:spacing w:before="181" w:beforeLines="50" w:line="240" w:lineRule="auto"/>
        <w:ind w:firstLine="720"/>
        <w:textAlignment w:val="auto"/>
        <w:rPr>
          <w:rFonts w:hint="default" w:ascii="Calibri" w:hAnsi="Calibri"/>
          <w:sz w:val="22"/>
          <w:szCs w:val="22"/>
          <w:lang w:val="es"/>
        </w:rPr>
      </w:pPr>
    </w:p>
    <w:p w14:paraId="7F55E1B0">
      <w:pPr>
        <w:pStyle w:val="3"/>
        <w:keepNext w:val="0"/>
        <w:keepLines w:val="0"/>
        <w:pageBreakBefore w:val="0"/>
        <w:widowControl/>
        <w:kinsoku/>
        <w:wordWrap/>
        <w:overflowPunct/>
        <w:topLinePunct w:val="0"/>
        <w:autoSpaceDE/>
        <w:autoSpaceDN/>
        <w:bidi w:val="0"/>
        <w:adjustRightInd/>
        <w:snapToGrid/>
        <w:spacing w:before="181" w:beforeLines="50" w:line="240" w:lineRule="auto"/>
        <w:ind w:firstLine="720"/>
        <w:textAlignment w:val="auto"/>
        <w:rPr>
          <w:rFonts w:hint="default" w:ascii="Calibri" w:hAnsi="Calibri"/>
          <w:sz w:val="22"/>
          <w:szCs w:val="22"/>
          <w:lang w:val="es"/>
        </w:rPr>
      </w:pPr>
    </w:p>
    <w:p w14:paraId="621648AC">
      <w:pPr>
        <w:pStyle w:val="3"/>
        <w:keepNext w:val="0"/>
        <w:keepLines w:val="0"/>
        <w:pageBreakBefore w:val="0"/>
        <w:widowControl/>
        <w:kinsoku/>
        <w:wordWrap/>
        <w:overflowPunct/>
        <w:topLinePunct w:val="0"/>
        <w:autoSpaceDE/>
        <w:autoSpaceDN/>
        <w:bidi w:val="0"/>
        <w:adjustRightInd/>
        <w:snapToGrid/>
        <w:spacing w:before="181" w:beforeLines="50" w:line="240" w:lineRule="auto"/>
        <w:ind w:firstLine="720"/>
        <w:textAlignment w:val="auto"/>
        <w:rPr>
          <w:rFonts w:hint="default" w:ascii="Calibri" w:hAnsi="Calibri"/>
          <w:sz w:val="22"/>
          <w:szCs w:val="22"/>
          <w:lang w:val="es"/>
        </w:rPr>
      </w:pPr>
    </w:p>
    <w:p w14:paraId="0BB72696">
      <w:pPr>
        <w:pStyle w:val="3"/>
        <w:keepNext w:val="0"/>
        <w:keepLines w:val="0"/>
        <w:pageBreakBefore w:val="0"/>
        <w:widowControl/>
        <w:kinsoku/>
        <w:wordWrap/>
        <w:overflowPunct/>
        <w:topLinePunct w:val="0"/>
        <w:autoSpaceDE/>
        <w:autoSpaceDN/>
        <w:bidi w:val="0"/>
        <w:adjustRightInd/>
        <w:snapToGrid/>
        <w:spacing w:before="181" w:beforeLines="50" w:line="240" w:lineRule="auto"/>
        <w:ind w:firstLine="720"/>
        <w:textAlignment w:val="auto"/>
        <w:rPr>
          <w:rFonts w:hint="default" w:ascii="Calibri" w:hAnsi="Calibri"/>
          <w:sz w:val="22"/>
          <w:szCs w:val="22"/>
          <w:lang w:val="es"/>
        </w:rPr>
      </w:pPr>
    </w:p>
    <w:p w14:paraId="2BB923CC">
      <w:pPr>
        <w:pStyle w:val="3"/>
        <w:keepNext w:val="0"/>
        <w:keepLines w:val="0"/>
        <w:pageBreakBefore w:val="0"/>
        <w:widowControl/>
        <w:kinsoku/>
        <w:wordWrap/>
        <w:overflowPunct/>
        <w:topLinePunct w:val="0"/>
        <w:autoSpaceDE/>
        <w:autoSpaceDN/>
        <w:bidi w:val="0"/>
        <w:adjustRightInd/>
        <w:snapToGrid/>
        <w:spacing w:before="181" w:beforeLines="50" w:line="240" w:lineRule="auto"/>
        <w:ind w:firstLine="720"/>
        <w:textAlignment w:val="auto"/>
        <w:rPr>
          <w:rFonts w:hint="default" w:ascii="Calibri" w:hAnsi="Calibri"/>
          <w:sz w:val="22"/>
          <w:szCs w:val="22"/>
          <w:lang w:val="es"/>
        </w:rPr>
      </w:pPr>
    </w:p>
    <w:p w14:paraId="77C6C9B6">
      <w:pPr>
        <w:rPr>
          <w:rFonts w:hint="default" w:ascii="Calibri" w:hAnsi="Calibri"/>
          <w:sz w:val="22"/>
          <w:szCs w:val="22"/>
          <w:lang w:val="es"/>
        </w:rPr>
      </w:pPr>
    </w:p>
    <w:p w14:paraId="243DE33B">
      <w:pPr>
        <w:rPr>
          <w:rFonts w:hint="default" w:ascii="Calibri" w:hAnsi="Calibri"/>
          <w:sz w:val="22"/>
          <w:szCs w:val="22"/>
          <w:lang w:val="es"/>
        </w:rPr>
      </w:pPr>
    </w:p>
    <w:p w14:paraId="459E8F4D">
      <w:pPr>
        <w:rPr>
          <w:rFonts w:hint="default" w:ascii="Calibri" w:hAnsi="Calibri"/>
          <w:sz w:val="22"/>
          <w:szCs w:val="22"/>
          <w:lang w:val="es"/>
        </w:rPr>
      </w:pPr>
    </w:p>
    <w:p w14:paraId="310277B0">
      <w:pPr>
        <w:rPr>
          <w:rFonts w:hint="default" w:ascii="Calibri" w:hAnsi="Calibri"/>
          <w:sz w:val="22"/>
          <w:szCs w:val="22"/>
          <w:lang w:val="es"/>
        </w:rPr>
      </w:pPr>
    </w:p>
    <w:p w14:paraId="1D82FCDA">
      <w:pPr>
        <w:rPr>
          <w:rFonts w:hint="default" w:ascii="Calibri" w:hAnsi="Calibri"/>
          <w:sz w:val="22"/>
          <w:szCs w:val="22"/>
          <w:lang w:val="es"/>
        </w:rPr>
      </w:pPr>
    </w:p>
    <w:p w14:paraId="72663BB0">
      <w:pPr>
        <w:rPr>
          <w:rFonts w:hint="default" w:ascii="Calibri" w:hAnsi="Calibri"/>
          <w:sz w:val="22"/>
          <w:szCs w:val="22"/>
          <w:lang w:val="es"/>
        </w:rPr>
      </w:pPr>
    </w:p>
    <w:p w14:paraId="059D4A41">
      <w:pPr>
        <w:rPr>
          <w:rFonts w:hint="default" w:ascii="Calibri" w:hAnsi="Calibri"/>
          <w:sz w:val="22"/>
          <w:szCs w:val="22"/>
          <w:lang w:val="es"/>
        </w:rPr>
      </w:pPr>
    </w:p>
    <w:p w14:paraId="735D6320">
      <w:pPr>
        <w:pStyle w:val="3"/>
        <w:keepNext w:val="0"/>
        <w:keepLines w:val="0"/>
        <w:pageBreakBefore w:val="0"/>
        <w:widowControl/>
        <w:kinsoku/>
        <w:wordWrap/>
        <w:overflowPunct/>
        <w:topLinePunct w:val="0"/>
        <w:autoSpaceDE/>
        <w:autoSpaceDN/>
        <w:bidi w:val="0"/>
        <w:adjustRightInd/>
        <w:snapToGrid/>
        <w:spacing w:before="181" w:beforeLines="50" w:line="240" w:lineRule="auto"/>
        <w:ind w:firstLine="720"/>
        <w:textAlignment w:val="auto"/>
        <w:rPr>
          <w:rFonts w:hint="default" w:ascii="Calibri" w:hAnsi="Calibri"/>
          <w:sz w:val="22"/>
          <w:szCs w:val="22"/>
          <w:lang w:val="es"/>
        </w:rPr>
      </w:pPr>
    </w:p>
    <w:p w14:paraId="6ABE923A">
      <w:pPr>
        <w:pStyle w:val="3"/>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ascii="Calibri" w:hAnsi="Calibri"/>
          <w:b/>
          <w:bCs/>
          <w:i/>
          <w:iCs/>
          <w:sz w:val="22"/>
          <w:szCs w:val="22"/>
          <w:lang w:val="es"/>
        </w:rPr>
      </w:pPr>
    </w:p>
    <w:p w14:paraId="3F5D40B9">
      <w:pPr>
        <w:pStyle w:val="3"/>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ascii="Calibri" w:hAnsi="Calibri" w:cs="Calibri"/>
          <w:i/>
          <w:iCs/>
          <w:sz w:val="22"/>
          <w:szCs w:val="22"/>
          <w:lang w:val="es"/>
        </w:rPr>
      </w:pPr>
      <w:bookmarkStart w:id="16" w:name="_GoBack"/>
      <w:bookmarkEnd w:id="16"/>
      <w:r>
        <w:rPr>
          <w:rFonts w:hint="default" w:ascii="Calibri" w:hAnsi="Calibri"/>
          <w:b/>
          <w:bCs/>
          <w:i/>
          <w:iCs/>
          <w:sz w:val="22"/>
          <w:szCs w:val="22"/>
          <w:lang w:val="es"/>
        </w:rPr>
        <w:t>Figura 1</w:t>
      </w:r>
      <w:r>
        <w:rPr>
          <w:rFonts w:hint="default" w:ascii="Calibri" w:hAnsi="Calibri"/>
          <w:i/>
          <w:iCs/>
          <w:sz w:val="22"/>
          <w:szCs w:val="22"/>
          <w:lang w:val="es"/>
        </w:rPr>
        <w:t>. Diagrama de flujo PRISMA</w:t>
      </w:r>
    </w:p>
    <w:p w14:paraId="0F03347A">
      <w:pPr>
        <w:pStyle w:val="3"/>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ascii="Calibri" w:hAnsi="Calibri" w:cs="Calibri"/>
          <w:b/>
          <w:bCs/>
          <w:sz w:val="24"/>
          <w:szCs w:val="24"/>
        </w:rPr>
      </w:pPr>
      <w:r>
        <w:rPr>
          <w:rFonts w:hint="default" w:ascii="Calibri" w:hAnsi="Calibri" w:cs="Calibri"/>
          <w:b/>
          <w:bCs/>
          <w:sz w:val="24"/>
          <w:szCs w:val="24"/>
        </w:rPr>
        <w:t>Resultados</w:t>
      </w:r>
    </w:p>
    <w:p w14:paraId="384D8160">
      <w:pPr>
        <w:keepNext w:val="0"/>
        <w:keepLines w:val="0"/>
        <w:pageBreakBefore w:val="0"/>
        <w:widowControl/>
        <w:kinsoku/>
        <w:wordWrap/>
        <w:overflowPunct/>
        <w:topLinePunct w:val="0"/>
        <w:autoSpaceDE/>
        <w:autoSpaceDN/>
        <w:bidi w:val="0"/>
        <w:adjustRightInd/>
        <w:snapToGrid/>
        <w:spacing w:before="181" w:beforeLines="50" w:line="240" w:lineRule="auto"/>
        <w:ind w:firstLine="720"/>
        <w:jc w:val="both"/>
        <w:textAlignment w:val="auto"/>
        <w:rPr>
          <w:rFonts w:hint="default" w:ascii="Calibri" w:hAnsi="Calibri" w:cs="Calibri"/>
          <w:bCs/>
          <w:sz w:val="22"/>
          <w:szCs w:val="22"/>
          <w:lang w:val="es-EC"/>
        </w:rPr>
      </w:pPr>
      <w:r>
        <w:rPr>
          <w:rFonts w:hint="default" w:ascii="Calibri" w:hAnsi="Calibri" w:cs="Calibri"/>
          <w:bCs/>
          <w:sz w:val="22"/>
          <w:szCs w:val="22"/>
          <w:lang w:val="es-EC"/>
        </w:rPr>
        <w:t>Se incluyeron un total de 30 estudios en la presente revisión, los cuales abordan estrategias efectivas utilizadas por enfermería para la gestión del dolor en procedimientos neonatales. Los hallazgos se organizaron en tres categorías principales: estrategias no farmacológicas aplicadas en neonatos, el rol del personal de enfermería en la identificación y evaluación del dolor, y el impacto de estas intervenciones en la salud neonatal. A partir de este análisis, se identificaron tendencias clave y prácticas basadas en evidencia que optimizan el manejo del dolor en esta población vulnerable (</w:t>
      </w:r>
      <w:r>
        <w:rPr>
          <w:rFonts w:hint="default" w:cs="Calibri"/>
          <w:bCs/>
          <w:sz w:val="22"/>
          <w:szCs w:val="22"/>
          <w:lang w:val="es-ES"/>
        </w:rPr>
        <w:t>T</w:t>
      </w:r>
      <w:r>
        <w:rPr>
          <w:rFonts w:hint="default" w:ascii="Calibri" w:hAnsi="Calibri" w:cs="Calibri"/>
          <w:bCs/>
          <w:sz w:val="22"/>
          <w:szCs w:val="22"/>
          <w:lang w:val="es-EC"/>
        </w:rPr>
        <w:t>abla 2).</w:t>
      </w:r>
    </w:p>
    <w:p w14:paraId="3E51BAC8">
      <w:pPr>
        <w:keepNext w:val="0"/>
        <w:keepLines w:val="0"/>
        <w:pageBreakBefore w:val="0"/>
        <w:widowControl/>
        <w:kinsoku/>
        <w:wordWrap/>
        <w:overflowPunct/>
        <w:topLinePunct w:val="0"/>
        <w:autoSpaceDE/>
        <w:autoSpaceDN/>
        <w:bidi w:val="0"/>
        <w:adjustRightInd/>
        <w:snapToGrid/>
        <w:spacing w:before="181" w:beforeLines="50" w:line="240" w:lineRule="auto"/>
        <w:jc w:val="both"/>
        <w:textAlignment w:val="auto"/>
        <w:rPr>
          <w:rFonts w:hint="default" w:ascii="Calibri" w:hAnsi="Calibri" w:cs="Calibri"/>
          <w:b/>
          <w:bCs/>
          <w:i/>
          <w:iCs/>
          <w:sz w:val="22"/>
          <w:szCs w:val="22"/>
          <w:lang w:val="es"/>
        </w:rPr>
      </w:pPr>
      <w:r>
        <w:rPr>
          <w:rFonts w:hint="default" w:ascii="Calibri" w:hAnsi="Calibri" w:cs="Calibri"/>
          <w:b/>
          <w:bCs/>
          <w:i/>
          <w:iCs/>
          <w:sz w:val="22"/>
          <w:szCs w:val="22"/>
          <w:lang w:val="es"/>
        </w:rPr>
        <w:t xml:space="preserve">Tabla 2. </w:t>
      </w:r>
      <w:r>
        <w:rPr>
          <w:rFonts w:hint="default" w:ascii="Calibri" w:hAnsi="Calibri" w:cs="Calibri"/>
          <w:b w:val="0"/>
          <w:bCs w:val="0"/>
          <w:i/>
          <w:iCs/>
          <w:sz w:val="22"/>
          <w:szCs w:val="22"/>
          <w:lang w:val="es"/>
        </w:rPr>
        <w:t xml:space="preserve">Distribución de los estudios encontrados </w:t>
      </w:r>
    </w:p>
    <w:tbl>
      <w:tblPr>
        <w:tblStyle w:val="66"/>
        <w:tblW w:w="0" w:type="auto"/>
        <w:jc w:val="center"/>
        <w:tblLayout w:type="autofit"/>
        <w:tblCellMar>
          <w:top w:w="0" w:type="dxa"/>
          <w:left w:w="108" w:type="dxa"/>
          <w:bottom w:w="0" w:type="dxa"/>
          <w:right w:w="108" w:type="dxa"/>
        </w:tblCellMar>
      </w:tblPr>
      <w:tblGrid>
        <w:gridCol w:w="2839"/>
        <w:gridCol w:w="1976"/>
        <w:gridCol w:w="1781"/>
      </w:tblGrid>
      <w:tr w14:paraId="71520CE6">
        <w:tblPrEx>
          <w:tblCellMar>
            <w:top w:w="0" w:type="dxa"/>
            <w:left w:w="108" w:type="dxa"/>
            <w:bottom w:w="0" w:type="dxa"/>
            <w:right w:w="108" w:type="dxa"/>
          </w:tblCellMar>
        </w:tblPrEx>
        <w:trPr>
          <w:jc w:val="center"/>
        </w:trPr>
        <w:tc>
          <w:tcPr>
            <w:tcW w:w="2839" w:type="dxa"/>
            <w:tcBorders>
              <w:top w:val="single" w:color="000000" w:sz="8" w:space="0"/>
              <w:left w:val="single" w:color="000000" w:sz="8" w:space="0"/>
              <w:bottom w:val="single" w:color="000000" w:sz="8" w:space="0"/>
              <w:right w:val="dotted" w:color="auto" w:sz="0" w:space="0"/>
              <w:insideH w:val="single" w:sz="4" w:space="0"/>
            </w:tcBorders>
            <w:shd w:val="clear" w:color="auto" w:fill="000000"/>
          </w:tcPr>
          <w:p w14:paraId="60775FA0">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eastAsiaTheme="majorEastAsia"/>
                <w:b/>
                <w:bCs/>
                <w:i w:val="0"/>
                <w:iCs w:val="0"/>
                <w:color w:val="FFFFFF"/>
                <w:sz w:val="20"/>
                <w:szCs w:val="20"/>
                <w:lang w:val="es"/>
              </w:rPr>
            </w:pPr>
            <w:r>
              <w:rPr>
                <w:rFonts w:hint="default" w:ascii="Calibri" w:hAnsi="Calibri" w:cs="Calibri" w:eastAsiaTheme="majorEastAsia"/>
                <w:b/>
                <w:bCs/>
                <w:i w:val="0"/>
                <w:iCs w:val="0"/>
                <w:color w:val="FFFFFF"/>
                <w:sz w:val="20"/>
                <w:szCs w:val="20"/>
                <w:lang w:val="es"/>
              </w:rPr>
              <w:t>Categoría</w:t>
            </w:r>
          </w:p>
        </w:tc>
        <w:tc>
          <w:tcPr>
            <w:tcW w:w="1976" w:type="dxa"/>
            <w:tcBorders>
              <w:top w:val="single" w:color="000000" w:sz="8" w:space="0"/>
              <w:left w:val="dotted" w:color="auto" w:sz="4" w:space="0"/>
              <w:bottom w:val="single" w:color="000000" w:sz="8" w:space="0"/>
              <w:right w:val="dotted" w:color="auto" w:sz="4" w:space="0"/>
              <w:insideH w:val="single" w:sz="4" w:space="0"/>
            </w:tcBorders>
            <w:shd w:val="clear" w:color="auto" w:fill="000000"/>
          </w:tcPr>
          <w:p w14:paraId="5E9C5637">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eastAsiaTheme="majorEastAsia"/>
                <w:b/>
                <w:bCs/>
                <w:i w:val="0"/>
                <w:iCs w:val="0"/>
                <w:color w:val="FFFFFF"/>
                <w:sz w:val="20"/>
                <w:szCs w:val="20"/>
                <w:lang w:val="es"/>
              </w:rPr>
            </w:pPr>
            <w:r>
              <w:rPr>
                <w:rFonts w:hint="default" w:ascii="Calibri" w:hAnsi="Calibri" w:cs="Calibri" w:eastAsiaTheme="majorEastAsia"/>
                <w:b/>
                <w:bCs/>
                <w:i w:val="0"/>
                <w:iCs w:val="0"/>
                <w:color w:val="FFFFFF"/>
                <w:sz w:val="20"/>
                <w:szCs w:val="20"/>
                <w:lang w:val="es"/>
              </w:rPr>
              <w:t>Cantidad de estudios</w:t>
            </w:r>
          </w:p>
        </w:tc>
        <w:tc>
          <w:tcPr>
            <w:tcW w:w="1781" w:type="dxa"/>
            <w:tcBorders>
              <w:top w:val="single" w:color="000000" w:sz="8" w:space="0"/>
              <w:left w:val="dotted" w:color="auto" w:sz="4" w:space="0"/>
              <w:bottom w:val="single" w:color="000000" w:sz="8" w:space="0"/>
              <w:right w:val="single" w:color="000000" w:sz="8" w:space="0"/>
              <w:insideH w:val="single" w:sz="4" w:space="0"/>
            </w:tcBorders>
            <w:shd w:val="clear" w:color="auto" w:fill="000000"/>
          </w:tcPr>
          <w:p w14:paraId="2EA454B2">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eastAsiaTheme="majorEastAsia"/>
                <w:b/>
                <w:bCs/>
                <w:i w:val="0"/>
                <w:iCs w:val="0"/>
                <w:color w:val="FFFFFF"/>
                <w:sz w:val="20"/>
                <w:szCs w:val="20"/>
                <w:lang w:val="es"/>
              </w:rPr>
            </w:pPr>
            <w:r>
              <w:rPr>
                <w:rFonts w:hint="default" w:ascii="Calibri" w:hAnsi="Calibri" w:cs="Calibri" w:eastAsiaTheme="majorEastAsia"/>
                <w:b/>
                <w:bCs/>
                <w:i w:val="0"/>
                <w:iCs w:val="0"/>
                <w:color w:val="FFFFFF"/>
                <w:sz w:val="20"/>
                <w:szCs w:val="20"/>
                <w:lang w:val="es"/>
              </w:rPr>
              <w:t>Porcentajes</w:t>
            </w:r>
          </w:p>
        </w:tc>
      </w:tr>
      <w:tr w14:paraId="7FD36878">
        <w:tblPrEx>
          <w:tblCellMar>
            <w:top w:w="0" w:type="dxa"/>
            <w:left w:w="108" w:type="dxa"/>
            <w:bottom w:w="0" w:type="dxa"/>
            <w:right w:w="108" w:type="dxa"/>
          </w:tblCellMar>
        </w:tblPrEx>
        <w:trPr>
          <w:jc w:val="center"/>
        </w:trPr>
        <w:tc>
          <w:tcPr>
            <w:tcW w:w="2839" w:type="dxa"/>
            <w:tcBorders>
              <w:top w:val="single" w:color="000000" w:sz="8" w:space="0"/>
              <w:left w:val="single" w:color="000000" w:sz="8" w:space="0"/>
              <w:bottom w:val="single" w:color="000000" w:sz="8" w:space="0"/>
              <w:right w:val="dotted" w:color="auto" w:sz="4" w:space="0"/>
              <w:insideV w:val="single" w:sz="4" w:space="0"/>
            </w:tcBorders>
            <w:shd w:val="clear" w:color="auto" w:fill="FFFFFF"/>
          </w:tcPr>
          <w:p w14:paraId="73C5C465">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eastAsiaTheme="majorEastAsia"/>
                <w:i w:val="0"/>
                <w:iCs w:val="0"/>
                <w:color w:val="000000"/>
                <w:sz w:val="20"/>
                <w:szCs w:val="20"/>
                <w:lang w:val="es"/>
              </w:rPr>
            </w:pPr>
            <w:r>
              <w:rPr>
                <w:rFonts w:hint="default" w:ascii="Calibri" w:hAnsi="Calibri" w:cs="Calibri" w:eastAsiaTheme="majorEastAsia"/>
                <w:i w:val="0"/>
                <w:iCs w:val="0"/>
                <w:color w:val="000000"/>
                <w:sz w:val="20"/>
                <w:szCs w:val="20"/>
                <w:lang w:val="es"/>
              </w:rPr>
              <w:t>Estrategias no farmacológicas</w:t>
            </w:r>
          </w:p>
        </w:tc>
        <w:tc>
          <w:tcPr>
            <w:tcW w:w="1976" w:type="dxa"/>
            <w:tcBorders>
              <w:top w:val="single" w:color="000000" w:sz="8" w:space="0"/>
              <w:left w:val="dotted" w:color="auto" w:sz="4" w:space="0"/>
              <w:bottom w:val="single" w:color="000000" w:sz="8" w:space="0"/>
              <w:right w:val="dotted" w:color="auto" w:sz="4" w:space="0"/>
            </w:tcBorders>
            <w:shd w:val="clear" w:color="auto" w:fill="FFFFFF"/>
          </w:tcPr>
          <w:p w14:paraId="050C45D0">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20"/>
                <w:szCs w:val="20"/>
                <w:lang w:val="es"/>
              </w:rPr>
            </w:pPr>
            <w:r>
              <w:rPr>
                <w:rFonts w:hint="default" w:ascii="Calibri" w:hAnsi="Calibri" w:cs="Calibri"/>
                <w:color w:val="000000"/>
                <w:sz w:val="20"/>
                <w:szCs w:val="20"/>
                <w:lang w:val="es"/>
              </w:rPr>
              <w:t>12</w:t>
            </w:r>
          </w:p>
        </w:tc>
        <w:tc>
          <w:tcPr>
            <w:tcW w:w="1781" w:type="dxa"/>
            <w:tcBorders>
              <w:top w:val="single" w:color="000000" w:sz="8" w:space="0"/>
              <w:left w:val="dotted" w:color="auto" w:sz="4" w:space="0"/>
              <w:bottom w:val="single" w:color="000000" w:sz="8" w:space="0"/>
              <w:right w:val="single" w:color="000000" w:sz="8" w:space="0"/>
            </w:tcBorders>
            <w:shd w:val="clear" w:color="auto" w:fill="FFFFFF"/>
          </w:tcPr>
          <w:p w14:paraId="42DEFE6D">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20"/>
                <w:szCs w:val="20"/>
                <w:lang w:val="es"/>
              </w:rPr>
            </w:pPr>
            <w:r>
              <w:rPr>
                <w:rFonts w:hint="default" w:ascii="Calibri" w:hAnsi="Calibri" w:cs="Calibri"/>
                <w:color w:val="000000"/>
                <w:sz w:val="20"/>
                <w:szCs w:val="20"/>
                <w:lang w:val="es"/>
              </w:rPr>
              <w:t>40.0</w:t>
            </w:r>
          </w:p>
        </w:tc>
      </w:tr>
      <w:tr w14:paraId="69CEFE0F">
        <w:tblPrEx>
          <w:tblCellMar>
            <w:top w:w="0" w:type="dxa"/>
            <w:left w:w="108" w:type="dxa"/>
            <w:bottom w:w="0" w:type="dxa"/>
            <w:right w:w="108" w:type="dxa"/>
          </w:tblCellMar>
        </w:tblPrEx>
        <w:trPr>
          <w:jc w:val="center"/>
        </w:trPr>
        <w:tc>
          <w:tcPr>
            <w:tcW w:w="2839" w:type="dxa"/>
            <w:tcBorders>
              <w:top w:val="single" w:color="000000" w:sz="8" w:space="0"/>
              <w:left w:val="single" w:color="000000" w:sz="8" w:space="0"/>
              <w:bottom w:val="single" w:color="000000" w:sz="8" w:space="0"/>
              <w:right w:val="dotted" w:color="auto" w:sz="4" w:space="0"/>
              <w:insideV w:val="single" w:sz="4" w:space="0"/>
            </w:tcBorders>
            <w:shd w:val="clear" w:color="auto" w:fill="FFFFFF"/>
          </w:tcPr>
          <w:p w14:paraId="6C5BD1BB">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eastAsiaTheme="majorEastAsia"/>
                <w:i w:val="0"/>
                <w:iCs w:val="0"/>
                <w:color w:val="000000"/>
                <w:sz w:val="20"/>
                <w:szCs w:val="20"/>
                <w:lang w:val="es"/>
              </w:rPr>
            </w:pPr>
            <w:r>
              <w:rPr>
                <w:rFonts w:hint="default" w:ascii="Calibri" w:hAnsi="Calibri" w:cs="Calibri" w:eastAsiaTheme="majorEastAsia"/>
                <w:i w:val="0"/>
                <w:iCs w:val="0"/>
                <w:color w:val="000000"/>
                <w:sz w:val="20"/>
                <w:szCs w:val="20"/>
                <w:lang w:val="es"/>
              </w:rPr>
              <w:t>Rol del personal de enfermería</w:t>
            </w:r>
          </w:p>
        </w:tc>
        <w:tc>
          <w:tcPr>
            <w:tcW w:w="1976" w:type="dxa"/>
            <w:tcBorders>
              <w:top w:val="single" w:color="000000" w:sz="8" w:space="0"/>
              <w:left w:val="dotted" w:color="auto" w:sz="4" w:space="0"/>
              <w:bottom w:val="single" w:color="000000" w:sz="8" w:space="0"/>
              <w:right w:val="dotted" w:color="auto" w:sz="4" w:space="0"/>
            </w:tcBorders>
            <w:shd w:val="clear" w:color="auto" w:fill="FFFFFF"/>
          </w:tcPr>
          <w:p w14:paraId="1989E2CE">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20"/>
                <w:szCs w:val="20"/>
                <w:lang w:val="es"/>
              </w:rPr>
            </w:pPr>
            <w:r>
              <w:rPr>
                <w:rFonts w:hint="default" w:ascii="Calibri" w:hAnsi="Calibri" w:cs="Calibri"/>
                <w:color w:val="000000"/>
                <w:sz w:val="20"/>
                <w:szCs w:val="20"/>
                <w:lang w:val="es"/>
              </w:rPr>
              <w:t>11</w:t>
            </w:r>
          </w:p>
        </w:tc>
        <w:tc>
          <w:tcPr>
            <w:tcW w:w="1781" w:type="dxa"/>
            <w:tcBorders>
              <w:top w:val="single" w:color="000000" w:sz="8" w:space="0"/>
              <w:left w:val="dotted" w:color="auto" w:sz="4" w:space="0"/>
              <w:bottom w:val="single" w:color="000000" w:sz="8" w:space="0"/>
              <w:right w:val="single" w:color="000000" w:sz="8" w:space="0"/>
            </w:tcBorders>
            <w:shd w:val="clear" w:color="auto" w:fill="FFFFFF"/>
          </w:tcPr>
          <w:p w14:paraId="59CEB3A7">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20"/>
                <w:szCs w:val="20"/>
                <w:lang w:val="es"/>
              </w:rPr>
            </w:pPr>
            <w:r>
              <w:rPr>
                <w:rFonts w:hint="default" w:ascii="Calibri" w:hAnsi="Calibri" w:cs="Calibri"/>
                <w:color w:val="000000"/>
                <w:sz w:val="20"/>
                <w:szCs w:val="20"/>
                <w:lang w:val="es"/>
              </w:rPr>
              <w:t>36.7</w:t>
            </w:r>
          </w:p>
        </w:tc>
      </w:tr>
      <w:tr w14:paraId="6DC1D7E5">
        <w:tblPrEx>
          <w:tblCellMar>
            <w:top w:w="0" w:type="dxa"/>
            <w:left w:w="108" w:type="dxa"/>
            <w:bottom w:w="0" w:type="dxa"/>
            <w:right w:w="108" w:type="dxa"/>
          </w:tblCellMar>
        </w:tblPrEx>
        <w:trPr>
          <w:jc w:val="center"/>
        </w:trPr>
        <w:tc>
          <w:tcPr>
            <w:tcW w:w="2839" w:type="dxa"/>
            <w:tcBorders>
              <w:top w:val="single" w:color="000000" w:sz="8" w:space="0"/>
              <w:left w:val="single" w:color="000000" w:sz="8" w:space="0"/>
              <w:bottom w:val="single" w:color="000000" w:sz="8" w:space="0"/>
              <w:right w:val="dotted" w:color="auto" w:sz="4" w:space="0"/>
              <w:insideV w:val="single" w:sz="4" w:space="0"/>
            </w:tcBorders>
            <w:shd w:val="clear" w:color="auto" w:fill="FFFFFF"/>
          </w:tcPr>
          <w:p w14:paraId="44F570F9">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eastAsiaTheme="majorEastAsia"/>
                <w:i w:val="0"/>
                <w:iCs w:val="0"/>
                <w:color w:val="000000"/>
                <w:sz w:val="20"/>
                <w:szCs w:val="20"/>
                <w:lang w:val="es"/>
              </w:rPr>
            </w:pPr>
            <w:r>
              <w:rPr>
                <w:rFonts w:hint="default" w:ascii="Calibri" w:hAnsi="Calibri" w:cs="Calibri" w:eastAsiaTheme="majorEastAsia"/>
                <w:i w:val="0"/>
                <w:iCs w:val="0"/>
                <w:color w:val="000000"/>
                <w:sz w:val="20"/>
                <w:szCs w:val="20"/>
                <w:lang w:val="es"/>
              </w:rPr>
              <w:t xml:space="preserve">Impacto de las intervenciones </w:t>
            </w:r>
          </w:p>
        </w:tc>
        <w:tc>
          <w:tcPr>
            <w:tcW w:w="1976" w:type="dxa"/>
            <w:tcBorders>
              <w:top w:val="single" w:color="000000" w:sz="8" w:space="0"/>
              <w:left w:val="dotted" w:color="auto" w:sz="4" w:space="0"/>
              <w:bottom w:val="single" w:color="000000" w:sz="8" w:space="0"/>
              <w:right w:val="dotted" w:color="auto" w:sz="4" w:space="0"/>
            </w:tcBorders>
            <w:shd w:val="clear" w:color="auto" w:fill="FFFFFF"/>
          </w:tcPr>
          <w:p w14:paraId="16FBCD09">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20"/>
                <w:szCs w:val="20"/>
                <w:lang w:val="es"/>
              </w:rPr>
            </w:pPr>
            <w:r>
              <w:rPr>
                <w:rFonts w:hint="default" w:ascii="Calibri" w:hAnsi="Calibri" w:cs="Calibri"/>
                <w:color w:val="000000"/>
                <w:sz w:val="20"/>
                <w:szCs w:val="20"/>
                <w:lang w:val="es"/>
              </w:rPr>
              <w:t>7</w:t>
            </w:r>
          </w:p>
        </w:tc>
        <w:tc>
          <w:tcPr>
            <w:tcW w:w="1781" w:type="dxa"/>
            <w:tcBorders>
              <w:top w:val="single" w:color="000000" w:sz="8" w:space="0"/>
              <w:left w:val="dotted" w:color="auto" w:sz="4" w:space="0"/>
              <w:bottom w:val="single" w:color="000000" w:sz="8" w:space="0"/>
              <w:right w:val="single" w:color="000000" w:sz="8" w:space="0"/>
            </w:tcBorders>
            <w:shd w:val="clear" w:color="auto" w:fill="FFFFFF"/>
          </w:tcPr>
          <w:p w14:paraId="54F59E2C">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20"/>
                <w:szCs w:val="20"/>
                <w:lang w:val="es"/>
              </w:rPr>
            </w:pPr>
            <w:r>
              <w:rPr>
                <w:rFonts w:hint="default" w:ascii="Calibri" w:hAnsi="Calibri" w:cs="Calibri"/>
                <w:color w:val="000000"/>
                <w:sz w:val="20"/>
                <w:szCs w:val="20"/>
                <w:lang w:val="es"/>
              </w:rPr>
              <w:t>23.3</w:t>
            </w:r>
          </w:p>
        </w:tc>
      </w:tr>
    </w:tbl>
    <w:p w14:paraId="1069172B">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cs="Calibri"/>
          <w:bCs/>
          <w:sz w:val="22"/>
          <w:szCs w:val="22"/>
          <w:lang w:val="es-EC"/>
        </w:rPr>
      </w:pPr>
      <w:r>
        <w:rPr>
          <w:rFonts w:hint="default" w:ascii="Calibri" w:hAnsi="Calibri" w:cs="Calibri"/>
          <w:bCs/>
          <w:sz w:val="22"/>
          <w:szCs w:val="22"/>
          <w:lang w:val="es-EC"/>
        </w:rPr>
        <w:t>La Tabla 2 muestra la distribución de los estudios encontrados por categoría, destacándose que la mayoría de los estudios revisados se centraron en estrategias no farmacológicas (40</w:t>
      </w:r>
      <w:r>
        <w:rPr>
          <w:rFonts w:hint="default" w:cs="Calibri"/>
          <w:bCs/>
          <w:sz w:val="22"/>
          <w:szCs w:val="22"/>
          <w:lang w:val="es-ES"/>
        </w:rPr>
        <w:t>,0</w:t>
      </w:r>
      <w:r>
        <w:rPr>
          <w:rFonts w:hint="default" w:ascii="Calibri" w:hAnsi="Calibri" w:cs="Calibri"/>
          <w:bCs/>
          <w:sz w:val="22"/>
          <w:szCs w:val="22"/>
          <w:lang w:val="es-EC"/>
        </w:rPr>
        <w:t>%), seguidos del rol del personal de enfermería (36</w:t>
      </w:r>
      <w:r>
        <w:rPr>
          <w:rFonts w:hint="default" w:cs="Calibri"/>
          <w:bCs/>
          <w:sz w:val="22"/>
          <w:szCs w:val="22"/>
          <w:lang w:val="es-ES"/>
        </w:rPr>
        <w:t>,</w:t>
      </w:r>
      <w:r>
        <w:rPr>
          <w:rFonts w:hint="default" w:ascii="Calibri" w:hAnsi="Calibri" w:cs="Calibri"/>
          <w:bCs/>
          <w:sz w:val="22"/>
          <w:szCs w:val="22"/>
          <w:lang w:val="es-EC"/>
        </w:rPr>
        <w:t>7%) y el impacto de las intervenciones (23</w:t>
      </w:r>
      <w:r>
        <w:rPr>
          <w:rFonts w:hint="default" w:cs="Calibri"/>
          <w:bCs/>
          <w:sz w:val="22"/>
          <w:szCs w:val="22"/>
          <w:lang w:val="es-ES"/>
        </w:rPr>
        <w:t>,</w:t>
      </w:r>
      <w:r>
        <w:rPr>
          <w:rFonts w:hint="default" w:ascii="Calibri" w:hAnsi="Calibri" w:cs="Calibri"/>
          <w:bCs/>
          <w:sz w:val="22"/>
          <w:szCs w:val="22"/>
          <w:lang w:val="es-EC"/>
        </w:rPr>
        <w:t>3%).</w:t>
      </w:r>
    </w:p>
    <w:p w14:paraId="011FDEBB">
      <w:pPr>
        <w:keepNext w:val="0"/>
        <w:keepLines w:val="0"/>
        <w:pageBreakBefore w:val="0"/>
        <w:widowControl/>
        <w:kinsoku/>
        <w:wordWrap/>
        <w:overflowPunct/>
        <w:topLinePunct w:val="0"/>
        <w:autoSpaceDE/>
        <w:autoSpaceDN/>
        <w:bidi w:val="0"/>
        <w:adjustRightInd/>
        <w:snapToGrid/>
        <w:spacing w:before="181" w:beforeLines="50" w:after="0" w:line="240" w:lineRule="auto"/>
        <w:jc w:val="both"/>
        <w:textAlignment w:val="auto"/>
        <w:rPr>
          <w:rFonts w:hint="default" w:ascii="Calibri" w:hAnsi="Calibri" w:cs="Calibri"/>
          <w:b/>
          <w:bCs/>
          <w:sz w:val="22"/>
          <w:szCs w:val="22"/>
          <w:lang w:val="es"/>
        </w:rPr>
      </w:pPr>
      <w:r>
        <w:rPr>
          <w:rFonts w:hint="default" w:ascii="Calibri" w:hAnsi="Calibri" w:cs="Calibri"/>
          <w:b/>
          <w:bCs/>
          <w:sz w:val="22"/>
          <w:szCs w:val="22"/>
          <w:lang w:val="es"/>
        </w:rPr>
        <w:t>Categoría 1</w:t>
      </w:r>
      <w:r>
        <w:rPr>
          <w:rFonts w:hint="default" w:cs="Calibri"/>
          <w:b/>
          <w:bCs/>
          <w:sz w:val="22"/>
          <w:szCs w:val="22"/>
          <w:lang w:val="es-ES"/>
        </w:rPr>
        <w:t xml:space="preserve">: </w:t>
      </w:r>
      <w:r>
        <w:rPr>
          <w:rFonts w:hint="default" w:ascii="Calibri" w:hAnsi="Calibri" w:cs="Calibri"/>
          <w:b/>
          <w:bCs/>
          <w:sz w:val="22"/>
          <w:szCs w:val="22"/>
          <w:lang w:val="es"/>
        </w:rPr>
        <w:t>Estrategias no farmacológicas aplicadas en neonatos (12 investigaciones)</w:t>
      </w:r>
    </w:p>
    <w:p w14:paraId="3EB04E07">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cs="Calibri"/>
          <w:bCs/>
          <w:sz w:val="22"/>
          <w:szCs w:val="22"/>
          <w:lang w:val="es"/>
        </w:rPr>
      </w:pPr>
      <w:r>
        <w:rPr>
          <w:rFonts w:hint="default" w:ascii="Calibri" w:hAnsi="Calibri" w:cs="Calibri"/>
          <w:bCs/>
          <w:sz w:val="22"/>
          <w:szCs w:val="22"/>
          <w:lang w:val="es"/>
        </w:rPr>
        <w:t>Las intervenciones no farmacológicas han demostrado ser herramientas clave en la gestión del dolor neonatal, destacando su efectividad y seguridad frente a métodos farmacológicos. Entre estas estrategias, la administración de soluciones dulces, como sacarosa al 24</w:t>
      </w:r>
      <w:r>
        <w:rPr>
          <w:rFonts w:hint="default" w:cs="Calibri"/>
          <w:bCs/>
          <w:sz w:val="22"/>
          <w:szCs w:val="22"/>
          <w:lang w:val="es-ES"/>
        </w:rPr>
        <w:t>,0</w:t>
      </w:r>
      <w:r>
        <w:rPr>
          <w:rFonts w:hint="default" w:ascii="Calibri" w:hAnsi="Calibri" w:cs="Calibri"/>
          <w:bCs/>
          <w:sz w:val="22"/>
          <w:szCs w:val="22"/>
          <w:lang w:val="es"/>
        </w:rPr>
        <w:t>% combinada con succión no nutritiva, se ha identificado como una técnica eficaz para disminuir el dolor durante procedimientos invasivos al potenciar la liberación de opioides endógenos (Díaz-Gómez, 2010; Torres Lara et al., 2022). Además, la integración del plegado facilitado junto con la succión no nutritiva ha mostrado ser particularmente beneficiosa en neonatos prematuros, aunque la calidad de la evidencia es baja, lo que resalta la necesidad de investigaciones adicionales (Jara et al., 2024; Riddell et al., 2023).</w:t>
      </w:r>
    </w:p>
    <w:p w14:paraId="0CAE2ED3">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cs="Calibri"/>
          <w:bCs/>
          <w:sz w:val="22"/>
          <w:szCs w:val="22"/>
          <w:lang w:val="es"/>
        </w:rPr>
      </w:pPr>
      <w:r>
        <w:rPr>
          <w:rFonts w:hint="default" w:ascii="Calibri" w:hAnsi="Calibri" w:cs="Calibri"/>
          <w:bCs/>
          <w:sz w:val="22"/>
          <w:szCs w:val="22"/>
          <w:lang w:val="es"/>
        </w:rPr>
        <w:t>El contacto piel con piel, conocido como el método madre canguro, también se posiciona como una intervención destacada en la reducción del dolor neonatal. Este método no solo activa el sistema modulador del dolor endógeno, sino que también mejora la autorregulación del neonato, disminuye el tiempo de llanto y estabiliza parámetros fisiológicos como la termorregulación, la frecuencia cardíaca y la respiración (Jonusas et al., 2019; Séassau et al., 2023; García Álvarez, 2021). Estudios adicionales han confirmado que estas prácticas no solo reducen las respuestas al dolor, sino que también promueven el vínculo madre-hijo, fortaleciendo la atención centrada en la familia en entornos hospitalarios (Valiente Rodríguez et al., 2022; Lima dos Santos et al., 2021).</w:t>
      </w:r>
    </w:p>
    <w:p w14:paraId="0F56CA32">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cs="Calibri"/>
          <w:bCs/>
          <w:sz w:val="22"/>
          <w:szCs w:val="22"/>
          <w:lang w:val="es"/>
        </w:rPr>
      </w:pPr>
      <w:r>
        <w:rPr>
          <w:rFonts w:hint="default" w:ascii="Calibri" w:hAnsi="Calibri" w:cs="Calibri"/>
          <w:bCs/>
          <w:sz w:val="22"/>
          <w:szCs w:val="22"/>
          <w:lang w:val="es"/>
        </w:rPr>
        <w:t>En comparación con los cuidados estándar, las intervenciones como el plegado facilitado y la succión no nutritiva se han evidenciado como significativamente más efectivas en la reducción del dolor, destacando su potencial para ser implementadas de manera sistemática en protocolos de enfermería (Weng et al., 2024; Feixas Orellana et al., 2019). Asimismo, estrategias complementarias, como actividades recreativas y de afrontamiento para fomentar la adaptación hospitalaria, han mostrado resultados positivos en la reducción del estrés en niños hospitalizados, reforzando su capacidad de participar en decisiones sobre su cuidado (Barros et al., 2021).</w:t>
      </w:r>
    </w:p>
    <w:p w14:paraId="24A78E16">
      <w:pPr>
        <w:keepNext w:val="0"/>
        <w:keepLines w:val="0"/>
        <w:pageBreakBefore w:val="0"/>
        <w:widowControl/>
        <w:kinsoku/>
        <w:wordWrap/>
        <w:overflowPunct/>
        <w:topLinePunct w:val="0"/>
        <w:autoSpaceDE/>
        <w:autoSpaceDN/>
        <w:bidi w:val="0"/>
        <w:adjustRightInd/>
        <w:snapToGrid/>
        <w:spacing w:before="361" w:beforeLines="100" w:after="181" w:afterLines="50" w:line="240" w:lineRule="auto"/>
        <w:jc w:val="both"/>
        <w:textAlignment w:val="auto"/>
        <w:rPr>
          <w:rFonts w:hint="default" w:ascii="Calibri" w:hAnsi="Calibri" w:cs="Calibri"/>
          <w:i/>
          <w:iCs/>
          <w:sz w:val="22"/>
          <w:szCs w:val="22"/>
          <w:lang w:val="es"/>
        </w:rPr>
      </w:pPr>
      <w:r>
        <w:rPr>
          <w:rFonts w:hint="default" w:ascii="Calibri" w:hAnsi="Calibri" w:cs="Calibri"/>
          <w:b/>
          <w:bCs/>
          <w:i/>
          <w:iCs/>
          <w:sz w:val="22"/>
          <w:szCs w:val="22"/>
          <w:lang w:val="es"/>
        </w:rPr>
        <w:t xml:space="preserve">Tabla 3. </w:t>
      </w:r>
      <w:r>
        <w:rPr>
          <w:rFonts w:hint="default" w:ascii="Calibri" w:hAnsi="Calibri" w:cs="Calibri"/>
          <w:i/>
          <w:iCs/>
          <w:sz w:val="22"/>
          <w:szCs w:val="22"/>
          <w:lang w:val="es"/>
        </w:rPr>
        <w:t>Estrategias no farmacológicas aplicadas en neonatos</w:t>
      </w:r>
    </w:p>
    <w:tbl>
      <w:tblPr>
        <w:tblStyle w:val="66"/>
        <w:tblW w:w="0" w:type="auto"/>
        <w:tblInd w:w="0" w:type="dxa"/>
        <w:tblLayout w:type="autofit"/>
        <w:tblCellMar>
          <w:top w:w="0" w:type="dxa"/>
          <w:left w:w="108" w:type="dxa"/>
          <w:bottom w:w="0" w:type="dxa"/>
          <w:right w:w="108" w:type="dxa"/>
        </w:tblCellMar>
      </w:tblPr>
      <w:tblGrid>
        <w:gridCol w:w="3028"/>
        <w:gridCol w:w="1367"/>
        <w:gridCol w:w="1443"/>
        <w:gridCol w:w="3522"/>
      </w:tblGrid>
      <w:tr w14:paraId="69534DE2">
        <w:tblPrEx>
          <w:tblCellMar>
            <w:top w:w="0" w:type="dxa"/>
            <w:left w:w="108" w:type="dxa"/>
            <w:bottom w:w="0" w:type="dxa"/>
            <w:right w:w="108" w:type="dxa"/>
          </w:tblCellMar>
        </w:tblPrEx>
        <w:tc>
          <w:tcPr>
            <w:tcW w:w="3028" w:type="dxa"/>
            <w:tcBorders>
              <w:top w:val="single" w:color="000000" w:sz="8" w:space="0"/>
              <w:left w:val="single" w:color="000000" w:sz="8" w:space="0"/>
              <w:bottom w:val="single" w:color="000000" w:sz="8" w:space="0"/>
              <w:right w:val="dotted" w:color="auto" w:sz="0" w:space="0"/>
              <w:insideH w:val="single" w:sz="4" w:space="0"/>
            </w:tcBorders>
            <w:shd w:val="clear" w:color="auto" w:fill="000000"/>
            <w:vAlign w:val="center"/>
          </w:tcPr>
          <w:p w14:paraId="4B02B1F1">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eastAsiaTheme="majorEastAsia"/>
                <w:b/>
                <w:bCs/>
                <w:i w:val="0"/>
                <w:iCs w:val="0"/>
                <w:color w:val="FFFFFF"/>
                <w:sz w:val="20"/>
                <w:szCs w:val="20"/>
                <w:lang w:val="es"/>
              </w:rPr>
            </w:pPr>
            <w:r>
              <w:rPr>
                <w:rFonts w:hint="default" w:ascii="Calibri" w:hAnsi="Calibri" w:cs="Calibri" w:eastAsiaTheme="majorEastAsia"/>
                <w:b/>
                <w:bCs/>
                <w:i w:val="0"/>
                <w:iCs w:val="0"/>
                <w:color w:val="FFFFFF"/>
                <w:sz w:val="20"/>
                <w:szCs w:val="20"/>
                <w:lang w:val="es"/>
              </w:rPr>
              <w:t>Estrategia no farmacológica</w:t>
            </w:r>
          </w:p>
        </w:tc>
        <w:tc>
          <w:tcPr>
            <w:tcW w:w="1367" w:type="dxa"/>
            <w:tcBorders>
              <w:top w:val="single" w:color="000000" w:sz="8" w:space="0"/>
              <w:left w:val="dotted" w:color="auto" w:sz="4" w:space="0"/>
              <w:bottom w:val="single" w:color="000000" w:sz="8" w:space="0"/>
              <w:right w:val="dotted" w:color="auto" w:sz="4" w:space="0"/>
              <w:insideH w:val="single" w:sz="4" w:space="0"/>
            </w:tcBorders>
            <w:shd w:val="clear" w:color="auto" w:fill="000000"/>
            <w:vAlign w:val="center"/>
          </w:tcPr>
          <w:p w14:paraId="41713D1F">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eastAsiaTheme="majorEastAsia"/>
                <w:b/>
                <w:bCs/>
                <w:i w:val="0"/>
                <w:iCs w:val="0"/>
                <w:color w:val="FFFFFF"/>
                <w:sz w:val="20"/>
                <w:szCs w:val="20"/>
                <w:lang w:val="es"/>
              </w:rPr>
            </w:pPr>
            <w:r>
              <w:rPr>
                <w:rFonts w:hint="default" w:ascii="Calibri" w:hAnsi="Calibri" w:cs="Calibri" w:eastAsiaTheme="majorEastAsia"/>
                <w:b/>
                <w:bCs/>
                <w:i w:val="0"/>
                <w:iCs w:val="0"/>
                <w:color w:val="FFFFFF"/>
                <w:sz w:val="20"/>
                <w:szCs w:val="20"/>
                <w:lang w:val="es"/>
              </w:rPr>
              <w:t>Cantidad de estudios</w:t>
            </w:r>
          </w:p>
        </w:tc>
        <w:tc>
          <w:tcPr>
            <w:tcW w:w="1443" w:type="dxa"/>
            <w:tcBorders>
              <w:top w:val="single" w:color="000000" w:sz="8" w:space="0"/>
              <w:left w:val="dotted" w:color="auto" w:sz="4" w:space="0"/>
              <w:bottom w:val="single" w:color="000000" w:sz="8" w:space="0"/>
              <w:right w:val="dotted" w:color="auto" w:sz="4" w:space="0"/>
              <w:insideH w:val="single" w:sz="4" w:space="0"/>
            </w:tcBorders>
            <w:shd w:val="clear" w:color="auto" w:fill="000000"/>
            <w:vAlign w:val="center"/>
          </w:tcPr>
          <w:p w14:paraId="3042AE8C">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eastAsiaTheme="majorEastAsia"/>
                <w:b/>
                <w:bCs/>
                <w:i w:val="0"/>
                <w:iCs w:val="0"/>
                <w:color w:val="FFFFFF"/>
                <w:sz w:val="20"/>
                <w:szCs w:val="20"/>
                <w:lang w:val="es"/>
              </w:rPr>
            </w:pPr>
            <w:r>
              <w:rPr>
                <w:rFonts w:hint="default" w:ascii="Calibri" w:hAnsi="Calibri" w:cs="Calibri" w:eastAsiaTheme="majorEastAsia"/>
                <w:b/>
                <w:bCs/>
                <w:i w:val="0"/>
                <w:iCs w:val="0"/>
                <w:color w:val="FFFFFF"/>
                <w:sz w:val="20"/>
                <w:szCs w:val="20"/>
                <w:lang w:val="es"/>
              </w:rPr>
              <w:t>Porcentaje (%)</w:t>
            </w:r>
          </w:p>
        </w:tc>
        <w:tc>
          <w:tcPr>
            <w:tcW w:w="3522" w:type="dxa"/>
            <w:tcBorders>
              <w:top w:val="single" w:color="000000" w:sz="8" w:space="0"/>
              <w:left w:val="dotted" w:color="auto" w:sz="4" w:space="0"/>
              <w:bottom w:val="single" w:color="000000" w:sz="8" w:space="0"/>
              <w:right w:val="single" w:color="000000" w:sz="8" w:space="0"/>
              <w:insideH w:val="single" w:sz="4" w:space="0"/>
            </w:tcBorders>
            <w:shd w:val="clear" w:color="auto" w:fill="000000"/>
            <w:vAlign w:val="center"/>
          </w:tcPr>
          <w:p w14:paraId="092EF400">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eastAsiaTheme="majorEastAsia"/>
                <w:b/>
                <w:bCs/>
                <w:i w:val="0"/>
                <w:iCs w:val="0"/>
                <w:color w:val="FFFFFF"/>
                <w:sz w:val="20"/>
                <w:szCs w:val="20"/>
                <w:lang w:val="es"/>
              </w:rPr>
            </w:pPr>
            <w:r>
              <w:rPr>
                <w:rFonts w:hint="default" w:ascii="Calibri" w:hAnsi="Calibri" w:cs="Calibri" w:eastAsiaTheme="majorEastAsia"/>
                <w:b/>
                <w:bCs/>
                <w:i w:val="0"/>
                <w:iCs w:val="0"/>
                <w:color w:val="FFFFFF"/>
                <w:sz w:val="20"/>
                <w:szCs w:val="20"/>
                <w:lang w:val="es"/>
              </w:rPr>
              <w:t>Estudios Asociados</w:t>
            </w:r>
          </w:p>
        </w:tc>
      </w:tr>
      <w:tr w14:paraId="4F8C14ED">
        <w:tblPrEx>
          <w:tblCellMar>
            <w:top w:w="0" w:type="dxa"/>
            <w:left w:w="108" w:type="dxa"/>
            <w:bottom w:w="0" w:type="dxa"/>
            <w:right w:w="108" w:type="dxa"/>
          </w:tblCellMar>
        </w:tblPrEx>
        <w:tc>
          <w:tcPr>
            <w:tcW w:w="3028" w:type="dxa"/>
            <w:tcBorders>
              <w:top w:val="single" w:color="000000" w:sz="8" w:space="0"/>
              <w:left w:val="single" w:color="000000" w:sz="8" w:space="0"/>
              <w:bottom w:val="single" w:color="000000" w:sz="8" w:space="0"/>
              <w:right w:val="dotted" w:color="auto" w:sz="4" w:space="0"/>
              <w:insideV w:val="single" w:sz="4" w:space="0"/>
            </w:tcBorders>
            <w:shd w:val="clear" w:color="auto" w:fill="FFFFFF"/>
          </w:tcPr>
          <w:p w14:paraId="3BDFC58C">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eastAsiaTheme="majorEastAsia"/>
                <w:i w:val="0"/>
                <w:iCs w:val="0"/>
                <w:color w:val="000000"/>
                <w:sz w:val="20"/>
                <w:szCs w:val="20"/>
                <w:lang w:val="es"/>
              </w:rPr>
            </w:pPr>
            <w:r>
              <w:rPr>
                <w:rFonts w:hint="default" w:ascii="Calibri" w:hAnsi="Calibri" w:cs="Calibri" w:eastAsiaTheme="majorEastAsia"/>
                <w:i w:val="0"/>
                <w:iCs w:val="0"/>
                <w:color w:val="000000"/>
                <w:sz w:val="20"/>
                <w:szCs w:val="20"/>
                <w:lang w:val="es"/>
              </w:rPr>
              <w:t>Contacto piel con piel</w:t>
            </w:r>
          </w:p>
        </w:tc>
        <w:tc>
          <w:tcPr>
            <w:tcW w:w="1367" w:type="dxa"/>
            <w:tcBorders>
              <w:top w:val="single" w:color="000000" w:sz="8" w:space="0"/>
              <w:left w:val="dotted" w:color="auto" w:sz="4" w:space="0"/>
              <w:bottom w:val="single" w:color="000000" w:sz="8" w:space="0"/>
              <w:right w:val="dotted" w:color="auto" w:sz="4" w:space="0"/>
            </w:tcBorders>
            <w:shd w:val="clear" w:color="auto" w:fill="FFFFFF"/>
          </w:tcPr>
          <w:p w14:paraId="12AA5BA9">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20"/>
                <w:szCs w:val="20"/>
                <w:lang w:val="es"/>
              </w:rPr>
            </w:pPr>
            <w:r>
              <w:rPr>
                <w:rFonts w:hint="default" w:ascii="Calibri" w:hAnsi="Calibri" w:cs="Calibri"/>
                <w:color w:val="000000"/>
                <w:sz w:val="20"/>
                <w:szCs w:val="20"/>
                <w:lang w:val="es"/>
              </w:rPr>
              <w:t>5</w:t>
            </w:r>
          </w:p>
        </w:tc>
        <w:tc>
          <w:tcPr>
            <w:tcW w:w="1443" w:type="dxa"/>
            <w:tcBorders>
              <w:top w:val="single" w:color="000000" w:sz="8" w:space="0"/>
              <w:left w:val="dotted" w:color="auto" w:sz="4" w:space="0"/>
              <w:bottom w:val="single" w:color="000000" w:sz="8" w:space="0"/>
              <w:right w:val="dotted" w:color="auto" w:sz="4" w:space="0"/>
            </w:tcBorders>
            <w:shd w:val="clear" w:color="auto" w:fill="FFFFFF"/>
          </w:tcPr>
          <w:p w14:paraId="2C8B2708">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20"/>
                <w:szCs w:val="20"/>
                <w:lang w:val="es"/>
              </w:rPr>
            </w:pPr>
            <w:r>
              <w:rPr>
                <w:rFonts w:hint="default" w:ascii="Calibri" w:hAnsi="Calibri" w:cs="Calibri"/>
                <w:color w:val="000000"/>
                <w:sz w:val="20"/>
                <w:szCs w:val="20"/>
                <w:lang w:val="es"/>
              </w:rPr>
              <w:t>41</w:t>
            </w:r>
            <w:r>
              <w:rPr>
                <w:rFonts w:hint="default" w:cs="Calibri"/>
                <w:color w:val="000000"/>
                <w:sz w:val="20"/>
                <w:szCs w:val="20"/>
                <w:lang w:val="es-ES"/>
              </w:rPr>
              <w:t>,</w:t>
            </w:r>
            <w:r>
              <w:rPr>
                <w:rFonts w:hint="default" w:ascii="Calibri" w:hAnsi="Calibri" w:cs="Calibri"/>
                <w:color w:val="000000"/>
                <w:sz w:val="20"/>
                <w:szCs w:val="20"/>
                <w:lang w:val="es"/>
              </w:rPr>
              <w:t>7</w:t>
            </w:r>
          </w:p>
        </w:tc>
        <w:tc>
          <w:tcPr>
            <w:tcW w:w="3522" w:type="dxa"/>
            <w:tcBorders>
              <w:top w:val="single" w:color="000000" w:sz="8" w:space="0"/>
              <w:left w:val="dotted" w:color="auto" w:sz="4" w:space="0"/>
              <w:bottom w:val="single" w:color="000000" w:sz="8" w:space="0"/>
              <w:right w:val="single" w:color="000000" w:sz="8" w:space="0"/>
            </w:tcBorders>
            <w:shd w:val="clear" w:color="auto" w:fill="FFFFFF"/>
          </w:tcPr>
          <w:p w14:paraId="71652011">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color w:val="000000"/>
                <w:sz w:val="20"/>
                <w:szCs w:val="20"/>
                <w:lang w:val="es"/>
              </w:rPr>
            </w:pPr>
            <w:r>
              <w:rPr>
                <w:rFonts w:hint="default" w:ascii="Calibri" w:hAnsi="Calibri" w:cs="Calibri"/>
                <w:color w:val="000000"/>
                <w:sz w:val="20"/>
                <w:szCs w:val="20"/>
                <w:lang w:val="es"/>
              </w:rPr>
              <w:t>Jonusas et al. 2019; Séassau et al. 2023; García Álvarez, 2021; Valiente Rodríguez et al. 2022; Lima dos Santos et al. 2021</w:t>
            </w:r>
          </w:p>
        </w:tc>
      </w:tr>
      <w:tr w14:paraId="45E307B3">
        <w:tblPrEx>
          <w:tblCellMar>
            <w:top w:w="0" w:type="dxa"/>
            <w:left w:w="108" w:type="dxa"/>
            <w:bottom w:w="0" w:type="dxa"/>
            <w:right w:w="108" w:type="dxa"/>
          </w:tblCellMar>
        </w:tblPrEx>
        <w:tc>
          <w:tcPr>
            <w:tcW w:w="3028" w:type="dxa"/>
            <w:tcBorders>
              <w:top w:val="single" w:color="000000" w:sz="8" w:space="0"/>
              <w:left w:val="single" w:color="000000" w:sz="8" w:space="0"/>
              <w:bottom w:val="single" w:color="000000" w:sz="8" w:space="0"/>
              <w:right w:val="dotted" w:color="auto" w:sz="4" w:space="0"/>
              <w:insideV w:val="single" w:sz="4" w:space="0"/>
            </w:tcBorders>
            <w:shd w:val="clear" w:color="auto" w:fill="FFFFFF"/>
          </w:tcPr>
          <w:p w14:paraId="4C0B9F8A">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eastAsiaTheme="majorEastAsia"/>
                <w:i w:val="0"/>
                <w:iCs w:val="0"/>
                <w:color w:val="000000"/>
                <w:sz w:val="20"/>
                <w:szCs w:val="20"/>
                <w:lang w:val="es"/>
              </w:rPr>
            </w:pPr>
            <w:r>
              <w:rPr>
                <w:rFonts w:hint="default" w:ascii="Calibri" w:hAnsi="Calibri" w:cs="Calibri" w:eastAsiaTheme="majorEastAsia"/>
                <w:i w:val="0"/>
                <w:iCs w:val="0"/>
                <w:color w:val="000000"/>
                <w:sz w:val="20"/>
                <w:szCs w:val="20"/>
                <w:lang w:val="es"/>
              </w:rPr>
              <w:t>Succión no nutritiva</w:t>
            </w:r>
          </w:p>
        </w:tc>
        <w:tc>
          <w:tcPr>
            <w:tcW w:w="1367" w:type="dxa"/>
            <w:tcBorders>
              <w:top w:val="single" w:color="000000" w:sz="8" w:space="0"/>
              <w:left w:val="dotted" w:color="auto" w:sz="4" w:space="0"/>
              <w:bottom w:val="single" w:color="000000" w:sz="8" w:space="0"/>
              <w:right w:val="dotted" w:color="auto" w:sz="4" w:space="0"/>
            </w:tcBorders>
            <w:shd w:val="clear" w:color="auto" w:fill="FFFFFF"/>
          </w:tcPr>
          <w:p w14:paraId="74F449FF">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20"/>
                <w:szCs w:val="20"/>
                <w:lang w:val="es"/>
              </w:rPr>
            </w:pPr>
            <w:r>
              <w:rPr>
                <w:rFonts w:hint="default" w:ascii="Calibri" w:hAnsi="Calibri" w:cs="Calibri"/>
                <w:color w:val="000000"/>
                <w:sz w:val="20"/>
                <w:szCs w:val="20"/>
                <w:lang w:val="es"/>
              </w:rPr>
              <w:t>4</w:t>
            </w:r>
          </w:p>
        </w:tc>
        <w:tc>
          <w:tcPr>
            <w:tcW w:w="1443" w:type="dxa"/>
            <w:tcBorders>
              <w:top w:val="single" w:color="000000" w:sz="8" w:space="0"/>
              <w:left w:val="dotted" w:color="auto" w:sz="4" w:space="0"/>
              <w:bottom w:val="single" w:color="000000" w:sz="8" w:space="0"/>
              <w:right w:val="dotted" w:color="auto" w:sz="4" w:space="0"/>
            </w:tcBorders>
            <w:shd w:val="clear" w:color="auto" w:fill="FFFFFF"/>
          </w:tcPr>
          <w:p w14:paraId="5AC7A5CF">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20"/>
                <w:szCs w:val="20"/>
                <w:lang w:val="es"/>
              </w:rPr>
            </w:pPr>
            <w:r>
              <w:rPr>
                <w:rFonts w:hint="default" w:ascii="Calibri" w:hAnsi="Calibri" w:cs="Calibri"/>
                <w:color w:val="000000"/>
                <w:sz w:val="20"/>
                <w:szCs w:val="20"/>
                <w:lang w:val="es"/>
              </w:rPr>
              <w:t>33</w:t>
            </w:r>
            <w:r>
              <w:rPr>
                <w:rFonts w:hint="default" w:cs="Calibri"/>
                <w:color w:val="000000"/>
                <w:sz w:val="20"/>
                <w:szCs w:val="20"/>
                <w:lang w:val="es-ES"/>
              </w:rPr>
              <w:t>,</w:t>
            </w:r>
            <w:r>
              <w:rPr>
                <w:rFonts w:hint="default" w:ascii="Calibri" w:hAnsi="Calibri" w:cs="Calibri"/>
                <w:color w:val="000000"/>
                <w:sz w:val="20"/>
                <w:szCs w:val="20"/>
                <w:lang w:val="es"/>
              </w:rPr>
              <w:t>3</w:t>
            </w:r>
          </w:p>
        </w:tc>
        <w:tc>
          <w:tcPr>
            <w:tcW w:w="3522" w:type="dxa"/>
            <w:tcBorders>
              <w:top w:val="single" w:color="000000" w:sz="8" w:space="0"/>
              <w:left w:val="dotted" w:color="auto" w:sz="4" w:space="0"/>
              <w:bottom w:val="single" w:color="000000" w:sz="8" w:space="0"/>
              <w:right w:val="single" w:color="000000" w:sz="8" w:space="0"/>
            </w:tcBorders>
            <w:shd w:val="clear" w:color="auto" w:fill="FFFFFF"/>
          </w:tcPr>
          <w:p w14:paraId="3830DEE0">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color w:val="000000"/>
                <w:sz w:val="20"/>
                <w:szCs w:val="20"/>
                <w:lang w:val="es"/>
              </w:rPr>
            </w:pPr>
            <w:r>
              <w:rPr>
                <w:rFonts w:hint="default" w:ascii="Calibri" w:hAnsi="Calibri" w:cs="Calibri"/>
                <w:color w:val="000000"/>
                <w:sz w:val="20"/>
                <w:szCs w:val="20"/>
                <w:lang w:val="es"/>
              </w:rPr>
              <w:t>Torres Lara et al. 2022; Jara et al. 2024; Weng et al., 2024; Riddell et al., 2023</w:t>
            </w:r>
          </w:p>
        </w:tc>
      </w:tr>
      <w:tr w14:paraId="10DE17CF">
        <w:tblPrEx>
          <w:tblCellMar>
            <w:top w:w="0" w:type="dxa"/>
            <w:left w:w="108" w:type="dxa"/>
            <w:bottom w:w="0" w:type="dxa"/>
            <w:right w:w="108" w:type="dxa"/>
          </w:tblCellMar>
        </w:tblPrEx>
        <w:tc>
          <w:tcPr>
            <w:tcW w:w="3028" w:type="dxa"/>
            <w:tcBorders>
              <w:top w:val="single" w:color="000000" w:sz="8" w:space="0"/>
              <w:left w:val="single" w:color="000000" w:sz="8" w:space="0"/>
              <w:bottom w:val="single" w:color="000000" w:sz="8" w:space="0"/>
              <w:right w:val="dotted" w:color="auto" w:sz="4" w:space="0"/>
              <w:insideV w:val="single" w:sz="4" w:space="0"/>
            </w:tcBorders>
            <w:shd w:val="clear" w:color="auto" w:fill="FFFFFF"/>
          </w:tcPr>
          <w:p w14:paraId="31AB2D14">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eastAsiaTheme="majorEastAsia"/>
                <w:i w:val="0"/>
                <w:iCs w:val="0"/>
                <w:color w:val="000000"/>
                <w:sz w:val="20"/>
                <w:szCs w:val="20"/>
                <w:lang w:val="es"/>
              </w:rPr>
            </w:pPr>
            <w:r>
              <w:rPr>
                <w:rFonts w:hint="default" w:ascii="Calibri" w:hAnsi="Calibri" w:cs="Calibri" w:eastAsiaTheme="majorEastAsia"/>
                <w:i w:val="0"/>
                <w:iCs w:val="0"/>
                <w:color w:val="000000"/>
                <w:sz w:val="20"/>
                <w:szCs w:val="20"/>
                <w:lang w:val="es"/>
              </w:rPr>
              <w:t>Administración de soluciones dulces</w:t>
            </w:r>
          </w:p>
        </w:tc>
        <w:tc>
          <w:tcPr>
            <w:tcW w:w="1367" w:type="dxa"/>
            <w:tcBorders>
              <w:top w:val="single" w:color="000000" w:sz="8" w:space="0"/>
              <w:left w:val="dotted" w:color="auto" w:sz="4" w:space="0"/>
              <w:bottom w:val="single" w:color="000000" w:sz="8" w:space="0"/>
              <w:right w:val="dotted" w:color="auto" w:sz="4" w:space="0"/>
            </w:tcBorders>
            <w:shd w:val="clear" w:color="auto" w:fill="FFFFFF"/>
          </w:tcPr>
          <w:p w14:paraId="0EED23F2">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20"/>
                <w:szCs w:val="20"/>
                <w:lang w:val="es"/>
              </w:rPr>
            </w:pPr>
            <w:r>
              <w:rPr>
                <w:rFonts w:hint="default" w:ascii="Calibri" w:hAnsi="Calibri" w:cs="Calibri"/>
                <w:color w:val="000000"/>
                <w:sz w:val="20"/>
                <w:szCs w:val="20"/>
                <w:lang w:val="es"/>
              </w:rPr>
              <w:t>2</w:t>
            </w:r>
          </w:p>
        </w:tc>
        <w:tc>
          <w:tcPr>
            <w:tcW w:w="1443" w:type="dxa"/>
            <w:tcBorders>
              <w:top w:val="single" w:color="000000" w:sz="8" w:space="0"/>
              <w:left w:val="dotted" w:color="auto" w:sz="4" w:space="0"/>
              <w:bottom w:val="single" w:color="000000" w:sz="8" w:space="0"/>
              <w:right w:val="dotted" w:color="auto" w:sz="4" w:space="0"/>
            </w:tcBorders>
            <w:shd w:val="clear" w:color="auto" w:fill="FFFFFF"/>
          </w:tcPr>
          <w:p w14:paraId="3A88BFEC">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20"/>
                <w:szCs w:val="20"/>
                <w:lang w:val="es"/>
              </w:rPr>
            </w:pPr>
            <w:r>
              <w:rPr>
                <w:rFonts w:hint="default" w:ascii="Calibri" w:hAnsi="Calibri" w:cs="Calibri"/>
                <w:color w:val="000000"/>
                <w:sz w:val="20"/>
                <w:szCs w:val="20"/>
                <w:lang w:val="es"/>
              </w:rPr>
              <w:t>16</w:t>
            </w:r>
            <w:r>
              <w:rPr>
                <w:rFonts w:hint="default" w:cs="Calibri"/>
                <w:color w:val="000000"/>
                <w:sz w:val="20"/>
                <w:szCs w:val="20"/>
                <w:lang w:val="es-ES"/>
              </w:rPr>
              <w:t>,</w:t>
            </w:r>
            <w:r>
              <w:rPr>
                <w:rFonts w:hint="default" w:ascii="Calibri" w:hAnsi="Calibri" w:cs="Calibri"/>
                <w:color w:val="000000"/>
                <w:sz w:val="20"/>
                <w:szCs w:val="20"/>
                <w:lang w:val="es"/>
              </w:rPr>
              <w:t>7</w:t>
            </w:r>
          </w:p>
        </w:tc>
        <w:tc>
          <w:tcPr>
            <w:tcW w:w="3522" w:type="dxa"/>
            <w:tcBorders>
              <w:top w:val="single" w:color="000000" w:sz="8" w:space="0"/>
              <w:left w:val="dotted" w:color="auto" w:sz="4" w:space="0"/>
              <w:bottom w:val="single" w:color="000000" w:sz="8" w:space="0"/>
              <w:right w:val="single" w:color="000000" w:sz="8" w:space="0"/>
            </w:tcBorders>
            <w:shd w:val="clear" w:color="auto" w:fill="FFFFFF"/>
          </w:tcPr>
          <w:p w14:paraId="2B37A5BD">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color w:val="000000"/>
                <w:sz w:val="20"/>
                <w:szCs w:val="20"/>
                <w:lang w:val="es"/>
              </w:rPr>
            </w:pPr>
            <w:r>
              <w:rPr>
                <w:rFonts w:hint="default" w:ascii="Calibri" w:hAnsi="Calibri" w:cs="Calibri"/>
                <w:color w:val="000000"/>
                <w:sz w:val="20"/>
                <w:szCs w:val="20"/>
                <w:lang w:val="es"/>
              </w:rPr>
              <w:t>Díaz-Gómez, 2010; Feixas Orellana et al. 2019</w:t>
            </w:r>
          </w:p>
        </w:tc>
      </w:tr>
      <w:tr w14:paraId="274B679E">
        <w:tblPrEx>
          <w:tblCellMar>
            <w:top w:w="0" w:type="dxa"/>
            <w:left w:w="108" w:type="dxa"/>
            <w:bottom w:w="0" w:type="dxa"/>
            <w:right w:w="108" w:type="dxa"/>
          </w:tblCellMar>
        </w:tblPrEx>
        <w:tc>
          <w:tcPr>
            <w:tcW w:w="3028" w:type="dxa"/>
            <w:tcBorders>
              <w:top w:val="single" w:color="000000" w:sz="8" w:space="0"/>
              <w:left w:val="single" w:color="000000" w:sz="8" w:space="0"/>
              <w:bottom w:val="single" w:color="000000" w:sz="8" w:space="0"/>
              <w:right w:val="dotted" w:color="auto" w:sz="4" w:space="0"/>
              <w:insideV w:val="single" w:sz="4" w:space="0"/>
            </w:tcBorders>
            <w:shd w:val="clear" w:color="auto" w:fill="FFFFFF"/>
          </w:tcPr>
          <w:p w14:paraId="33441300">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eastAsiaTheme="majorEastAsia"/>
                <w:i w:val="0"/>
                <w:iCs w:val="0"/>
                <w:color w:val="000000"/>
                <w:sz w:val="20"/>
                <w:szCs w:val="20"/>
                <w:lang w:val="es"/>
              </w:rPr>
            </w:pPr>
            <w:r>
              <w:rPr>
                <w:rFonts w:hint="default" w:ascii="Calibri" w:hAnsi="Calibri" w:cs="Calibri" w:eastAsiaTheme="majorEastAsia"/>
                <w:i w:val="0"/>
                <w:iCs w:val="0"/>
                <w:color w:val="000000"/>
                <w:sz w:val="20"/>
                <w:szCs w:val="20"/>
                <w:lang w:val="es"/>
              </w:rPr>
              <w:t>Plegado facilitado</w:t>
            </w:r>
          </w:p>
        </w:tc>
        <w:tc>
          <w:tcPr>
            <w:tcW w:w="1367" w:type="dxa"/>
            <w:tcBorders>
              <w:top w:val="single" w:color="000000" w:sz="8" w:space="0"/>
              <w:left w:val="dotted" w:color="auto" w:sz="4" w:space="0"/>
              <w:bottom w:val="single" w:color="000000" w:sz="8" w:space="0"/>
              <w:right w:val="dotted" w:color="auto" w:sz="4" w:space="0"/>
            </w:tcBorders>
            <w:shd w:val="clear" w:color="auto" w:fill="FFFFFF"/>
          </w:tcPr>
          <w:p w14:paraId="5599C6AF">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20"/>
                <w:szCs w:val="20"/>
                <w:lang w:val="es"/>
              </w:rPr>
            </w:pPr>
            <w:r>
              <w:rPr>
                <w:rFonts w:hint="default" w:ascii="Calibri" w:hAnsi="Calibri" w:cs="Calibri"/>
                <w:color w:val="000000"/>
                <w:sz w:val="20"/>
                <w:szCs w:val="20"/>
                <w:lang w:val="es"/>
              </w:rPr>
              <w:t>1</w:t>
            </w:r>
          </w:p>
        </w:tc>
        <w:tc>
          <w:tcPr>
            <w:tcW w:w="1443" w:type="dxa"/>
            <w:tcBorders>
              <w:top w:val="single" w:color="000000" w:sz="8" w:space="0"/>
              <w:left w:val="dotted" w:color="auto" w:sz="4" w:space="0"/>
              <w:bottom w:val="single" w:color="000000" w:sz="8" w:space="0"/>
              <w:right w:val="dotted" w:color="auto" w:sz="4" w:space="0"/>
            </w:tcBorders>
            <w:shd w:val="clear" w:color="auto" w:fill="FFFFFF"/>
          </w:tcPr>
          <w:p w14:paraId="0767FFB2">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20"/>
                <w:szCs w:val="20"/>
                <w:lang w:val="es"/>
              </w:rPr>
            </w:pPr>
            <w:r>
              <w:rPr>
                <w:rFonts w:hint="default" w:ascii="Calibri" w:hAnsi="Calibri" w:cs="Calibri"/>
                <w:color w:val="000000"/>
                <w:sz w:val="20"/>
                <w:szCs w:val="20"/>
                <w:lang w:val="es"/>
              </w:rPr>
              <w:t>8</w:t>
            </w:r>
            <w:r>
              <w:rPr>
                <w:rFonts w:hint="default" w:cs="Calibri"/>
                <w:color w:val="000000"/>
                <w:sz w:val="20"/>
                <w:szCs w:val="20"/>
                <w:lang w:val="es-ES"/>
              </w:rPr>
              <w:t>,</w:t>
            </w:r>
            <w:r>
              <w:rPr>
                <w:rFonts w:hint="default" w:ascii="Calibri" w:hAnsi="Calibri" w:cs="Calibri"/>
                <w:color w:val="000000"/>
                <w:sz w:val="20"/>
                <w:szCs w:val="20"/>
                <w:lang w:val="es"/>
              </w:rPr>
              <w:t>3</w:t>
            </w:r>
          </w:p>
        </w:tc>
        <w:tc>
          <w:tcPr>
            <w:tcW w:w="3522" w:type="dxa"/>
            <w:tcBorders>
              <w:top w:val="single" w:color="000000" w:sz="8" w:space="0"/>
              <w:left w:val="dotted" w:color="auto" w:sz="4" w:space="0"/>
              <w:bottom w:val="single" w:color="000000" w:sz="8" w:space="0"/>
              <w:right w:val="single" w:color="000000" w:sz="8" w:space="0"/>
            </w:tcBorders>
            <w:shd w:val="clear" w:color="auto" w:fill="FFFFFF"/>
          </w:tcPr>
          <w:p w14:paraId="3BC8F428">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color w:val="000000"/>
                <w:sz w:val="20"/>
                <w:szCs w:val="20"/>
                <w:lang w:val="es"/>
              </w:rPr>
            </w:pPr>
            <w:r>
              <w:rPr>
                <w:rFonts w:hint="default" w:ascii="Calibri" w:hAnsi="Calibri" w:cs="Calibri"/>
                <w:color w:val="000000"/>
                <w:sz w:val="20"/>
                <w:szCs w:val="20"/>
                <w:lang w:val="es"/>
              </w:rPr>
              <w:t>Jara et al. 2024</w:t>
            </w:r>
          </w:p>
        </w:tc>
      </w:tr>
    </w:tbl>
    <w:p w14:paraId="3E9BC2C0">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cs="Calibri"/>
          <w:bCs/>
          <w:sz w:val="22"/>
          <w:szCs w:val="22"/>
          <w:lang w:val="es"/>
        </w:rPr>
      </w:pPr>
      <w:r>
        <w:rPr>
          <w:rFonts w:hint="default" w:ascii="Calibri" w:hAnsi="Calibri" w:cs="Calibri"/>
          <w:bCs/>
          <w:sz w:val="22"/>
          <w:szCs w:val="22"/>
          <w:lang w:val="es"/>
        </w:rPr>
        <w:t xml:space="preserve">La </w:t>
      </w:r>
      <w:r>
        <w:rPr>
          <w:rFonts w:hint="default" w:cs="Calibri"/>
          <w:bCs/>
          <w:sz w:val="22"/>
          <w:szCs w:val="22"/>
          <w:lang w:val="es-ES"/>
        </w:rPr>
        <w:t>T</w:t>
      </w:r>
      <w:r>
        <w:rPr>
          <w:rFonts w:hint="default" w:ascii="Calibri" w:hAnsi="Calibri" w:cs="Calibri"/>
          <w:bCs/>
          <w:sz w:val="22"/>
          <w:szCs w:val="22"/>
          <w:lang w:val="es"/>
        </w:rPr>
        <w:t>abla 3 muestra las estrategias no farmacológicas más utilizadas en neonatos según los estudios revisados. El contacto piel con piel fue la estrategia más documentada, mencionada en el 41</w:t>
      </w:r>
      <w:r>
        <w:rPr>
          <w:rFonts w:hint="default" w:cs="Calibri"/>
          <w:bCs/>
          <w:sz w:val="22"/>
          <w:szCs w:val="22"/>
          <w:lang w:val="es-ES"/>
        </w:rPr>
        <w:t>,</w:t>
      </w:r>
      <w:r>
        <w:rPr>
          <w:rFonts w:hint="default" w:ascii="Calibri" w:hAnsi="Calibri" w:cs="Calibri"/>
          <w:bCs/>
          <w:sz w:val="22"/>
          <w:szCs w:val="22"/>
          <w:lang w:val="es"/>
        </w:rPr>
        <w:t>7% de los estudios, seguido de la succión no nutritiva, citada en el 33</w:t>
      </w:r>
      <w:r>
        <w:rPr>
          <w:rFonts w:hint="default" w:cs="Calibri"/>
          <w:bCs/>
          <w:sz w:val="22"/>
          <w:szCs w:val="22"/>
          <w:lang w:val="es-ES"/>
        </w:rPr>
        <w:t>,</w:t>
      </w:r>
      <w:r>
        <w:rPr>
          <w:rFonts w:hint="default" w:ascii="Calibri" w:hAnsi="Calibri" w:cs="Calibri"/>
          <w:bCs/>
          <w:sz w:val="22"/>
          <w:szCs w:val="22"/>
          <w:lang w:val="es"/>
        </w:rPr>
        <w:t>3%. La administración de soluciones dulces apareció en el 16.7% de los estudios, mientras que el plegado facilitado fue mencionado en un 8.3%. Estas estrategias destacan por su efectividad y aplicabilidad en la gestión del dolor neonatal.</w:t>
      </w:r>
    </w:p>
    <w:p w14:paraId="7E7F7804">
      <w:pPr>
        <w:keepNext w:val="0"/>
        <w:keepLines w:val="0"/>
        <w:pageBreakBefore w:val="0"/>
        <w:widowControl/>
        <w:kinsoku/>
        <w:wordWrap/>
        <w:overflowPunct/>
        <w:topLinePunct w:val="0"/>
        <w:autoSpaceDE/>
        <w:autoSpaceDN/>
        <w:bidi w:val="0"/>
        <w:adjustRightInd/>
        <w:snapToGrid/>
        <w:spacing w:before="181" w:beforeLines="50" w:after="0" w:line="240" w:lineRule="auto"/>
        <w:jc w:val="both"/>
        <w:textAlignment w:val="auto"/>
        <w:rPr>
          <w:rFonts w:hint="default" w:ascii="Calibri" w:hAnsi="Calibri" w:cs="Calibri"/>
          <w:b/>
          <w:bCs/>
          <w:sz w:val="22"/>
          <w:szCs w:val="22"/>
          <w:lang w:val="es"/>
        </w:rPr>
      </w:pPr>
      <w:r>
        <w:rPr>
          <w:rFonts w:hint="default" w:ascii="Calibri" w:hAnsi="Calibri" w:cs="Calibri"/>
          <w:b/>
          <w:bCs/>
          <w:sz w:val="22"/>
          <w:szCs w:val="22"/>
          <w:lang w:val="es"/>
        </w:rPr>
        <w:t>Categoría 2</w:t>
      </w:r>
      <w:r>
        <w:rPr>
          <w:rFonts w:hint="default" w:cs="Calibri"/>
          <w:b/>
          <w:bCs/>
          <w:sz w:val="22"/>
          <w:szCs w:val="22"/>
          <w:lang w:val="es-ES"/>
        </w:rPr>
        <w:t xml:space="preserve">: </w:t>
      </w:r>
      <w:r>
        <w:rPr>
          <w:rFonts w:hint="default" w:ascii="Calibri" w:hAnsi="Calibri" w:cs="Calibri"/>
          <w:b/>
          <w:bCs/>
          <w:sz w:val="22"/>
          <w:szCs w:val="22"/>
          <w:lang w:val="es"/>
        </w:rPr>
        <w:t>Rol del personal de enfermería en la identificación y evaluación del dolor neonatal (11 investigaciones)</w:t>
      </w:r>
    </w:p>
    <w:p w14:paraId="7B2C327A">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cs="Calibri"/>
          <w:bCs/>
          <w:sz w:val="22"/>
          <w:szCs w:val="22"/>
          <w:lang w:val="es"/>
        </w:rPr>
      </w:pPr>
      <w:r>
        <w:rPr>
          <w:rFonts w:hint="default" w:ascii="Calibri" w:hAnsi="Calibri" w:cs="Calibri"/>
          <w:bCs/>
          <w:sz w:val="22"/>
          <w:szCs w:val="22"/>
          <w:lang w:val="es"/>
        </w:rPr>
        <w:t>La evaluación del dolor neonatal es fundamental para implementar estrategias de manejo adecuadas y personalizadas. Herramientas como las escalas FLACC y N-PASS permiten a los profesionales de enfermería adaptar intervenciones no farmacológicas para minimizar el dolor durante procedimientos invasivos, mejorando los resultados neonatales (Jiménez-Hernández et al., 2023). Asimismo, el uso de la Neonatal Infant Pain Scale (NIPS) destaca como una herramienta efectiva para clasificar el dolor en neonatos sometidos a procedimientos comunes en la NICU, subrayando la importancia de intervenciones preprocedurales (Luo et al., 2023).</w:t>
      </w:r>
    </w:p>
    <w:p w14:paraId="69996A6E">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cs="Calibri"/>
          <w:bCs/>
          <w:sz w:val="22"/>
          <w:szCs w:val="22"/>
          <w:lang w:val="es"/>
        </w:rPr>
      </w:pPr>
      <w:r>
        <w:rPr>
          <w:rFonts w:hint="default" w:ascii="Calibri" w:hAnsi="Calibri" w:cs="Calibri"/>
          <w:bCs/>
          <w:sz w:val="22"/>
          <w:szCs w:val="22"/>
          <w:lang w:val="es"/>
        </w:rPr>
        <w:t>A pesar de la disponibilidad de herramientas validadas, menos del 50% de las enfermeras informan su uso sistemático, lo que resalta la necesidad de mayor formación y protocolos claros para la evaluación del dolor neonatal (Popowicz et al., 2021; Notejane et al., 2019). Esta brecha también se evidencia en estudios que señalan que solo el 16.3% del personal demuestra buenas prácticas en el manejo del dolor, mientras que el 72</w:t>
      </w:r>
      <w:r>
        <w:rPr>
          <w:rFonts w:hint="default" w:cs="Calibri"/>
          <w:bCs/>
          <w:sz w:val="22"/>
          <w:szCs w:val="22"/>
          <w:lang w:val="es-ES"/>
        </w:rPr>
        <w:t>,0</w:t>
      </w:r>
      <w:r>
        <w:rPr>
          <w:rFonts w:hint="default" w:ascii="Calibri" w:hAnsi="Calibri" w:cs="Calibri"/>
          <w:bCs/>
          <w:sz w:val="22"/>
          <w:szCs w:val="22"/>
          <w:lang w:val="es"/>
        </w:rPr>
        <w:t>% enfrenta dificultades debido a la falta de confianza en las escalas y rutinas inadecuadas (Mekonen et al., 2024; Carlsen Misic et al., 2021). Por otra parte, la carencia de herramientas que combinen parámetros conductuales y fisiológicos subraya la necesidad de desarrollar instrumentos más integrales para la práctica clínica (Llerena et al., 2023; Bošković &amp; Ličen, 2021).</w:t>
      </w:r>
    </w:p>
    <w:p w14:paraId="376AB1B2">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cs="Calibri"/>
          <w:bCs/>
          <w:sz w:val="22"/>
          <w:szCs w:val="22"/>
          <w:lang w:val="es"/>
        </w:rPr>
      </w:pPr>
      <w:r>
        <w:rPr>
          <w:rFonts w:hint="default" w:ascii="Calibri" w:hAnsi="Calibri" w:cs="Calibri"/>
          <w:bCs/>
          <w:sz w:val="22"/>
          <w:szCs w:val="22"/>
          <w:lang w:val="es"/>
        </w:rPr>
        <w:t>Además, el manejo centrado en la familia, que incluye educación verbal y escrita, empodera a los padres para participar activamente en la atención de sus neonatos, promoviendo un cuidado adecuado del dolor (Kammerer et al., 2024; Maitanmi et al., 2020). La implementación de iniciativas como los "pain champions" y la capacitación "just-in-time" ha demostrado mejorar la adopción de prácticas basadas en evidencia, contribuyendo a cambios sostenibles en los entornos hospitalarios (Kammerer et al., 2024). Estas estrategias también fortalecen el bienestar psicológico de los padres, promoviendo relaciones positivas y confianza en el cuidado de los neonatos (Maitanmi et al., 2020).</w:t>
      </w:r>
    </w:p>
    <w:p w14:paraId="26785FCE">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cs="Calibri"/>
          <w:bCs/>
          <w:sz w:val="22"/>
          <w:szCs w:val="22"/>
          <w:lang w:val="es"/>
        </w:rPr>
      </w:pPr>
      <w:r>
        <w:rPr>
          <w:rFonts w:hint="default" w:ascii="Calibri" w:hAnsi="Calibri" w:cs="Calibri"/>
          <w:bCs/>
          <w:sz w:val="22"/>
          <w:szCs w:val="22"/>
          <w:lang w:val="es"/>
        </w:rPr>
        <w:t xml:space="preserve">La </w:t>
      </w:r>
      <w:r>
        <w:rPr>
          <w:rFonts w:hint="default" w:cs="Calibri"/>
          <w:bCs/>
          <w:sz w:val="22"/>
          <w:szCs w:val="22"/>
          <w:lang w:val="es-ES"/>
        </w:rPr>
        <w:t>T</w:t>
      </w:r>
      <w:r>
        <w:rPr>
          <w:rFonts w:hint="default" w:ascii="Calibri" w:hAnsi="Calibri" w:cs="Calibri"/>
          <w:bCs/>
          <w:sz w:val="22"/>
          <w:szCs w:val="22"/>
          <w:lang w:val="es"/>
        </w:rPr>
        <w:t>abla 4 muestra la frecuencia de uso de herramientas específicas para la evaluación del dolor neonatal en los 9 estudios que mencionan escalas validadas. La Neonatal Infant Pain Scale (NIPS), la Face, Legs, Activity, Cry, Consolability Scale (FLACC) y la Premature Infant Pain Profile (PIPP) fueron utilizadas en igual proporción, cada una referida en el 10% de los estudios totales revisados, correspondientes al 33.3% de los estudios que abordan herramientas específicas. Estos hallazgos subrayan la relevancia de estas escalas en la práctica clínica y la diversidad de métodos empleados para la evaluación del dolor neonatal.</w:t>
      </w:r>
    </w:p>
    <w:p w14:paraId="7E2BBC35">
      <w:pPr>
        <w:keepNext w:val="0"/>
        <w:keepLines w:val="0"/>
        <w:pageBreakBefore w:val="0"/>
        <w:widowControl/>
        <w:kinsoku/>
        <w:wordWrap/>
        <w:overflowPunct/>
        <w:topLinePunct w:val="0"/>
        <w:autoSpaceDE/>
        <w:autoSpaceDN/>
        <w:bidi w:val="0"/>
        <w:adjustRightInd/>
        <w:snapToGrid/>
        <w:spacing w:before="361" w:beforeLines="100" w:after="181" w:afterLines="50" w:line="240" w:lineRule="auto"/>
        <w:jc w:val="both"/>
        <w:textAlignment w:val="auto"/>
        <w:rPr>
          <w:rFonts w:hint="default" w:ascii="Calibri" w:hAnsi="Calibri" w:cs="Calibri"/>
          <w:i/>
          <w:iCs/>
          <w:sz w:val="22"/>
          <w:szCs w:val="22"/>
          <w:lang w:val="es"/>
        </w:rPr>
      </w:pPr>
      <w:r>
        <w:rPr>
          <w:rFonts w:hint="default" w:ascii="Calibri" w:hAnsi="Calibri" w:cs="Calibri"/>
          <w:b/>
          <w:bCs/>
          <w:i/>
          <w:iCs/>
          <w:sz w:val="22"/>
          <w:szCs w:val="22"/>
          <w:lang w:val="es"/>
        </w:rPr>
        <w:t>Tabla 4.</w:t>
      </w:r>
      <w:r>
        <w:rPr>
          <w:rFonts w:hint="default" w:ascii="Calibri" w:hAnsi="Calibri" w:cs="Calibri"/>
          <w:i/>
          <w:iCs/>
          <w:sz w:val="22"/>
          <w:szCs w:val="22"/>
          <w:lang w:val="es"/>
        </w:rPr>
        <w:t xml:space="preserve"> Herramientas de evaluación del dolor neonatal: frecuencia y estudios asociados</w:t>
      </w:r>
    </w:p>
    <w:tbl>
      <w:tblPr>
        <w:tblStyle w:val="66"/>
        <w:tblW w:w="0" w:type="auto"/>
        <w:tblInd w:w="0" w:type="dxa"/>
        <w:tblLayout w:type="autofit"/>
        <w:tblCellMar>
          <w:top w:w="0" w:type="dxa"/>
          <w:left w:w="108" w:type="dxa"/>
          <w:bottom w:w="0" w:type="dxa"/>
          <w:right w:w="108" w:type="dxa"/>
        </w:tblCellMar>
      </w:tblPr>
      <w:tblGrid>
        <w:gridCol w:w="3247"/>
        <w:gridCol w:w="1381"/>
        <w:gridCol w:w="1269"/>
        <w:gridCol w:w="3463"/>
      </w:tblGrid>
      <w:tr w14:paraId="4CE7FF58">
        <w:tblPrEx>
          <w:tblCellMar>
            <w:top w:w="0" w:type="dxa"/>
            <w:left w:w="108" w:type="dxa"/>
            <w:bottom w:w="0" w:type="dxa"/>
            <w:right w:w="108" w:type="dxa"/>
          </w:tblCellMar>
        </w:tblPrEx>
        <w:tc>
          <w:tcPr>
            <w:tcW w:w="3247" w:type="dxa"/>
            <w:tcBorders>
              <w:top w:val="single" w:color="000000" w:sz="8" w:space="0"/>
              <w:left w:val="single" w:color="000000" w:sz="8" w:space="0"/>
              <w:bottom w:val="single" w:color="000000" w:sz="8" w:space="0"/>
              <w:right w:val="dotted" w:color="auto" w:sz="0" w:space="0"/>
              <w:insideH w:val="single" w:sz="4" w:space="0"/>
            </w:tcBorders>
            <w:shd w:val="clear" w:color="auto" w:fill="000000"/>
          </w:tcPr>
          <w:p w14:paraId="6EE02C72">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eastAsiaTheme="majorEastAsia"/>
                <w:b/>
                <w:bCs/>
                <w:i w:val="0"/>
                <w:iCs w:val="0"/>
                <w:color w:val="FFFFFF"/>
                <w:sz w:val="18"/>
                <w:szCs w:val="18"/>
                <w:lang w:val="es"/>
              </w:rPr>
            </w:pPr>
            <w:r>
              <w:rPr>
                <w:rFonts w:hint="default" w:ascii="Calibri" w:hAnsi="Calibri" w:cs="Calibri" w:eastAsiaTheme="majorEastAsia"/>
                <w:b/>
                <w:bCs/>
                <w:i w:val="0"/>
                <w:iCs w:val="0"/>
                <w:color w:val="FFFFFF"/>
                <w:sz w:val="18"/>
                <w:szCs w:val="18"/>
                <w:lang w:val="es"/>
              </w:rPr>
              <w:t>Herramienta/Recurso (Significado)</w:t>
            </w:r>
          </w:p>
        </w:tc>
        <w:tc>
          <w:tcPr>
            <w:tcW w:w="1381" w:type="dxa"/>
            <w:tcBorders>
              <w:top w:val="single" w:color="000000" w:sz="8" w:space="0"/>
              <w:left w:val="dotted" w:color="auto" w:sz="4" w:space="0"/>
              <w:bottom w:val="single" w:color="000000" w:sz="8" w:space="0"/>
              <w:right w:val="dotted" w:color="auto" w:sz="4" w:space="0"/>
              <w:insideH w:val="single" w:sz="4" w:space="0"/>
            </w:tcBorders>
            <w:shd w:val="clear" w:color="auto" w:fill="000000"/>
          </w:tcPr>
          <w:p w14:paraId="29160089">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eastAsiaTheme="majorEastAsia"/>
                <w:b/>
                <w:bCs/>
                <w:i w:val="0"/>
                <w:iCs w:val="0"/>
                <w:color w:val="FFFFFF"/>
                <w:sz w:val="18"/>
                <w:szCs w:val="18"/>
                <w:lang w:val="es"/>
              </w:rPr>
            </w:pPr>
            <w:r>
              <w:rPr>
                <w:rFonts w:hint="default" w:ascii="Calibri" w:hAnsi="Calibri" w:cs="Calibri" w:eastAsiaTheme="majorEastAsia"/>
                <w:b/>
                <w:bCs/>
                <w:i w:val="0"/>
                <w:iCs w:val="0"/>
                <w:color w:val="FFFFFF"/>
                <w:sz w:val="18"/>
                <w:szCs w:val="18"/>
                <w:lang w:val="es"/>
              </w:rPr>
              <w:t>Cantidad de estudios</w:t>
            </w:r>
          </w:p>
        </w:tc>
        <w:tc>
          <w:tcPr>
            <w:tcW w:w="1269" w:type="dxa"/>
            <w:tcBorders>
              <w:top w:val="single" w:color="000000" w:sz="8" w:space="0"/>
              <w:left w:val="dotted" w:color="auto" w:sz="4" w:space="0"/>
              <w:bottom w:val="single" w:color="000000" w:sz="8" w:space="0"/>
              <w:right w:val="dotted" w:color="auto" w:sz="4" w:space="0"/>
              <w:insideH w:val="single" w:sz="4" w:space="0"/>
            </w:tcBorders>
            <w:shd w:val="clear" w:color="auto" w:fill="000000"/>
          </w:tcPr>
          <w:p w14:paraId="4C1F49A2">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eastAsiaTheme="majorEastAsia"/>
                <w:b/>
                <w:bCs/>
                <w:i w:val="0"/>
                <w:iCs w:val="0"/>
                <w:color w:val="FFFFFF"/>
                <w:sz w:val="18"/>
                <w:szCs w:val="18"/>
                <w:lang w:val="es"/>
              </w:rPr>
            </w:pPr>
            <w:r>
              <w:rPr>
                <w:rFonts w:hint="default" w:ascii="Calibri" w:hAnsi="Calibri" w:cs="Calibri" w:eastAsiaTheme="majorEastAsia"/>
                <w:b/>
                <w:bCs/>
                <w:i w:val="0"/>
                <w:iCs w:val="0"/>
                <w:color w:val="FFFFFF"/>
                <w:sz w:val="18"/>
                <w:szCs w:val="18"/>
                <w:lang w:val="es"/>
              </w:rPr>
              <w:t>Porcentaje (%)</w:t>
            </w:r>
          </w:p>
        </w:tc>
        <w:tc>
          <w:tcPr>
            <w:tcW w:w="3463" w:type="dxa"/>
            <w:tcBorders>
              <w:top w:val="single" w:color="000000" w:sz="8" w:space="0"/>
              <w:left w:val="dotted" w:color="auto" w:sz="4" w:space="0"/>
              <w:bottom w:val="single" w:color="000000" w:sz="8" w:space="0"/>
              <w:right w:val="single" w:color="000000" w:sz="8" w:space="0"/>
              <w:insideH w:val="single" w:sz="4" w:space="0"/>
            </w:tcBorders>
            <w:shd w:val="clear" w:color="auto" w:fill="000000"/>
          </w:tcPr>
          <w:p w14:paraId="675898BA">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eastAsiaTheme="majorEastAsia"/>
                <w:b/>
                <w:bCs/>
                <w:i w:val="0"/>
                <w:iCs w:val="0"/>
                <w:color w:val="FFFFFF"/>
                <w:sz w:val="18"/>
                <w:szCs w:val="18"/>
                <w:lang w:val="es"/>
              </w:rPr>
            </w:pPr>
            <w:r>
              <w:rPr>
                <w:rFonts w:hint="default" w:ascii="Calibri" w:hAnsi="Calibri" w:cs="Calibri" w:eastAsiaTheme="majorEastAsia"/>
                <w:b/>
                <w:bCs/>
                <w:i w:val="0"/>
                <w:iCs w:val="0"/>
                <w:color w:val="FFFFFF"/>
                <w:sz w:val="18"/>
                <w:szCs w:val="18"/>
                <w:lang w:val="es"/>
              </w:rPr>
              <w:t>Estudios Asociados</w:t>
            </w:r>
          </w:p>
        </w:tc>
      </w:tr>
      <w:tr w14:paraId="2A8BD86F">
        <w:tblPrEx>
          <w:tblCellMar>
            <w:top w:w="0" w:type="dxa"/>
            <w:left w:w="108" w:type="dxa"/>
            <w:bottom w:w="0" w:type="dxa"/>
            <w:right w:w="108" w:type="dxa"/>
          </w:tblCellMar>
        </w:tblPrEx>
        <w:tc>
          <w:tcPr>
            <w:tcW w:w="3247" w:type="dxa"/>
            <w:tcBorders>
              <w:top w:val="single" w:color="000000" w:sz="8" w:space="0"/>
              <w:left w:val="single" w:color="000000" w:sz="8" w:space="0"/>
              <w:bottom w:val="single" w:color="000000" w:sz="8" w:space="0"/>
              <w:right w:val="dotted" w:color="auto" w:sz="4" w:space="0"/>
              <w:insideV w:val="single" w:sz="4" w:space="0"/>
            </w:tcBorders>
            <w:shd w:val="clear" w:color="auto" w:fill="FFFFFF"/>
            <w:vAlign w:val="center"/>
          </w:tcPr>
          <w:p w14:paraId="7B3BC2C2">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eastAsiaTheme="majorEastAsia"/>
                <w:i w:val="0"/>
                <w:iCs w:val="0"/>
                <w:color w:val="000000"/>
                <w:sz w:val="18"/>
                <w:szCs w:val="18"/>
                <w:lang w:val="en-US"/>
              </w:rPr>
            </w:pPr>
            <w:r>
              <w:rPr>
                <w:rFonts w:hint="default" w:ascii="Calibri" w:hAnsi="Calibri" w:cs="Calibri" w:eastAsiaTheme="majorEastAsia"/>
                <w:i w:val="0"/>
                <w:iCs w:val="0"/>
                <w:color w:val="000000"/>
                <w:sz w:val="18"/>
                <w:szCs w:val="18"/>
                <w:lang w:val="en-US"/>
              </w:rPr>
              <w:t>FLACC (Face, Legs, Activity, Cry, Consolability Scale)</w:t>
            </w:r>
          </w:p>
        </w:tc>
        <w:tc>
          <w:tcPr>
            <w:tcW w:w="1381" w:type="dxa"/>
            <w:tcBorders>
              <w:top w:val="single" w:color="000000" w:sz="8" w:space="0"/>
              <w:left w:val="dotted" w:color="auto" w:sz="4" w:space="0"/>
              <w:bottom w:val="single" w:color="000000" w:sz="8" w:space="0"/>
              <w:right w:val="dotted" w:color="auto" w:sz="4" w:space="0"/>
            </w:tcBorders>
            <w:shd w:val="clear" w:color="auto" w:fill="FFFFFF"/>
            <w:vAlign w:val="center"/>
          </w:tcPr>
          <w:p w14:paraId="3EAB8CFB">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8"/>
                <w:szCs w:val="18"/>
                <w:lang w:val="es"/>
              </w:rPr>
            </w:pPr>
            <w:r>
              <w:rPr>
                <w:rFonts w:hint="default" w:ascii="Calibri" w:hAnsi="Calibri" w:cs="Calibri"/>
                <w:color w:val="000000"/>
                <w:sz w:val="18"/>
                <w:szCs w:val="18"/>
                <w:lang w:val="es"/>
              </w:rPr>
              <w:t>3</w:t>
            </w:r>
          </w:p>
        </w:tc>
        <w:tc>
          <w:tcPr>
            <w:tcW w:w="1269" w:type="dxa"/>
            <w:tcBorders>
              <w:top w:val="single" w:color="000000" w:sz="8" w:space="0"/>
              <w:left w:val="dotted" w:color="auto" w:sz="4" w:space="0"/>
              <w:bottom w:val="single" w:color="000000" w:sz="8" w:space="0"/>
              <w:right w:val="dotted" w:color="auto" w:sz="4" w:space="0"/>
            </w:tcBorders>
            <w:shd w:val="clear" w:color="auto" w:fill="FFFFFF"/>
            <w:vAlign w:val="center"/>
          </w:tcPr>
          <w:p w14:paraId="564C4070">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8"/>
                <w:szCs w:val="18"/>
                <w:lang w:val="es"/>
              </w:rPr>
            </w:pPr>
            <w:r>
              <w:rPr>
                <w:rFonts w:hint="default" w:ascii="Calibri" w:hAnsi="Calibri" w:cs="Calibri"/>
                <w:color w:val="000000"/>
                <w:sz w:val="18"/>
                <w:szCs w:val="18"/>
                <w:lang w:val="es"/>
              </w:rPr>
              <w:t>10</w:t>
            </w:r>
            <w:r>
              <w:rPr>
                <w:rFonts w:hint="default" w:cs="Calibri"/>
                <w:color w:val="000000"/>
                <w:sz w:val="18"/>
                <w:szCs w:val="18"/>
                <w:lang w:val="es-ES"/>
              </w:rPr>
              <w:t>,</w:t>
            </w:r>
            <w:r>
              <w:rPr>
                <w:rFonts w:hint="default" w:ascii="Calibri" w:hAnsi="Calibri" w:cs="Calibri"/>
                <w:color w:val="000000"/>
                <w:sz w:val="18"/>
                <w:szCs w:val="18"/>
                <w:lang w:val="es"/>
              </w:rPr>
              <w:t>0</w:t>
            </w:r>
          </w:p>
        </w:tc>
        <w:tc>
          <w:tcPr>
            <w:tcW w:w="3463" w:type="dxa"/>
            <w:tcBorders>
              <w:top w:val="single" w:color="000000" w:sz="8" w:space="0"/>
              <w:left w:val="dotted" w:color="auto" w:sz="4" w:space="0"/>
              <w:bottom w:val="single" w:color="000000" w:sz="8" w:space="0"/>
              <w:right w:val="single" w:color="000000" w:sz="8" w:space="0"/>
            </w:tcBorders>
            <w:shd w:val="clear" w:color="auto" w:fill="FFFFFF"/>
            <w:vAlign w:val="center"/>
          </w:tcPr>
          <w:p w14:paraId="4650FEED">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color w:val="000000"/>
                <w:sz w:val="18"/>
                <w:szCs w:val="18"/>
                <w:lang w:val="es"/>
              </w:rPr>
            </w:pPr>
            <w:r>
              <w:rPr>
                <w:rFonts w:hint="default" w:ascii="Calibri" w:hAnsi="Calibri" w:cs="Calibri"/>
                <w:color w:val="000000"/>
                <w:sz w:val="18"/>
                <w:szCs w:val="18"/>
                <w:lang w:val="es"/>
              </w:rPr>
              <w:t>Popowicz et al. 2021; Mekonen et al. 2024; Notejane et al. 2019</w:t>
            </w:r>
          </w:p>
          <w:p w14:paraId="2C5095B4">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color w:val="000000"/>
                <w:sz w:val="18"/>
                <w:szCs w:val="18"/>
                <w:lang w:val="es"/>
              </w:rPr>
            </w:pPr>
          </w:p>
        </w:tc>
      </w:tr>
      <w:tr w14:paraId="172F6D57">
        <w:tblPrEx>
          <w:tblCellMar>
            <w:top w:w="0" w:type="dxa"/>
            <w:left w:w="108" w:type="dxa"/>
            <w:bottom w:w="0" w:type="dxa"/>
            <w:right w:w="108" w:type="dxa"/>
          </w:tblCellMar>
        </w:tblPrEx>
        <w:tc>
          <w:tcPr>
            <w:tcW w:w="3247" w:type="dxa"/>
            <w:tcBorders>
              <w:top w:val="single" w:color="000000" w:sz="8" w:space="0"/>
              <w:left w:val="single" w:color="000000" w:sz="8" w:space="0"/>
              <w:bottom w:val="single" w:color="000000" w:sz="8" w:space="0"/>
              <w:right w:val="dotted" w:color="auto" w:sz="4" w:space="0"/>
              <w:insideV w:val="single" w:sz="4" w:space="0"/>
            </w:tcBorders>
            <w:shd w:val="clear" w:color="auto" w:fill="FFFFFF"/>
            <w:vAlign w:val="center"/>
          </w:tcPr>
          <w:p w14:paraId="51FADD16">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eastAsiaTheme="majorEastAsia"/>
                <w:i w:val="0"/>
                <w:iCs w:val="0"/>
                <w:color w:val="000000"/>
                <w:sz w:val="18"/>
                <w:szCs w:val="18"/>
                <w:lang w:val="en-US"/>
              </w:rPr>
            </w:pPr>
            <w:r>
              <w:rPr>
                <w:rFonts w:hint="default" w:ascii="Calibri" w:hAnsi="Calibri" w:cs="Calibri" w:eastAsiaTheme="majorEastAsia"/>
                <w:i w:val="0"/>
                <w:iCs w:val="0"/>
                <w:color w:val="000000"/>
                <w:sz w:val="18"/>
                <w:szCs w:val="18"/>
                <w:lang w:val="en-US"/>
              </w:rPr>
              <w:t>NIPS (Neonatal Infant Pain Scale)</w:t>
            </w:r>
          </w:p>
        </w:tc>
        <w:tc>
          <w:tcPr>
            <w:tcW w:w="1381" w:type="dxa"/>
            <w:tcBorders>
              <w:top w:val="single" w:color="000000" w:sz="8" w:space="0"/>
              <w:left w:val="dotted" w:color="auto" w:sz="4" w:space="0"/>
              <w:bottom w:val="single" w:color="000000" w:sz="8" w:space="0"/>
              <w:right w:val="dotted" w:color="auto" w:sz="4" w:space="0"/>
            </w:tcBorders>
            <w:shd w:val="clear" w:color="auto" w:fill="FFFFFF"/>
            <w:vAlign w:val="center"/>
          </w:tcPr>
          <w:p w14:paraId="200068C4">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8"/>
                <w:szCs w:val="18"/>
                <w:lang w:val="es"/>
              </w:rPr>
            </w:pPr>
            <w:r>
              <w:rPr>
                <w:rFonts w:hint="default" w:ascii="Calibri" w:hAnsi="Calibri" w:cs="Calibri"/>
                <w:color w:val="000000"/>
                <w:sz w:val="18"/>
                <w:szCs w:val="18"/>
                <w:lang w:val="es"/>
              </w:rPr>
              <w:t>3</w:t>
            </w:r>
          </w:p>
        </w:tc>
        <w:tc>
          <w:tcPr>
            <w:tcW w:w="1269" w:type="dxa"/>
            <w:tcBorders>
              <w:top w:val="single" w:color="000000" w:sz="8" w:space="0"/>
              <w:left w:val="dotted" w:color="auto" w:sz="4" w:space="0"/>
              <w:bottom w:val="single" w:color="000000" w:sz="8" w:space="0"/>
              <w:right w:val="dotted" w:color="auto" w:sz="4" w:space="0"/>
            </w:tcBorders>
            <w:shd w:val="clear" w:color="auto" w:fill="FFFFFF"/>
            <w:vAlign w:val="center"/>
          </w:tcPr>
          <w:p w14:paraId="4ABFDD87">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8"/>
                <w:szCs w:val="18"/>
                <w:lang w:val="es"/>
              </w:rPr>
            </w:pPr>
            <w:r>
              <w:rPr>
                <w:rFonts w:hint="default" w:ascii="Calibri" w:hAnsi="Calibri" w:cs="Calibri"/>
                <w:color w:val="000000"/>
                <w:sz w:val="18"/>
                <w:szCs w:val="18"/>
                <w:lang w:val="es"/>
              </w:rPr>
              <w:t>10</w:t>
            </w:r>
            <w:r>
              <w:rPr>
                <w:rFonts w:hint="default" w:cs="Calibri"/>
                <w:color w:val="000000"/>
                <w:sz w:val="18"/>
                <w:szCs w:val="18"/>
                <w:lang w:val="es-ES"/>
              </w:rPr>
              <w:t>,</w:t>
            </w:r>
            <w:r>
              <w:rPr>
                <w:rFonts w:hint="default" w:ascii="Calibri" w:hAnsi="Calibri" w:cs="Calibri"/>
                <w:color w:val="000000"/>
                <w:sz w:val="18"/>
                <w:szCs w:val="18"/>
                <w:lang w:val="es"/>
              </w:rPr>
              <w:t>0</w:t>
            </w:r>
          </w:p>
        </w:tc>
        <w:tc>
          <w:tcPr>
            <w:tcW w:w="3463" w:type="dxa"/>
            <w:tcBorders>
              <w:top w:val="single" w:color="000000" w:sz="8" w:space="0"/>
              <w:left w:val="dotted" w:color="auto" w:sz="4" w:space="0"/>
              <w:bottom w:val="single" w:color="000000" w:sz="8" w:space="0"/>
              <w:right w:val="single" w:color="000000" w:sz="8" w:space="0"/>
            </w:tcBorders>
            <w:shd w:val="clear" w:color="auto" w:fill="FFFFFF"/>
            <w:vAlign w:val="center"/>
          </w:tcPr>
          <w:p w14:paraId="3DA251F8">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color w:val="000000"/>
                <w:sz w:val="18"/>
                <w:szCs w:val="18"/>
                <w:lang w:val="es"/>
              </w:rPr>
            </w:pPr>
            <w:r>
              <w:rPr>
                <w:rFonts w:hint="default" w:ascii="Calibri" w:hAnsi="Calibri" w:cs="Calibri"/>
                <w:color w:val="000000"/>
                <w:sz w:val="18"/>
                <w:szCs w:val="18"/>
                <w:lang w:val="es"/>
              </w:rPr>
              <w:t>Luo et al. 2023; Jiménez-Hernández et al. 2023; Kammerer et al. 2024</w:t>
            </w:r>
          </w:p>
        </w:tc>
      </w:tr>
      <w:tr w14:paraId="097C7AC3">
        <w:tblPrEx>
          <w:tblCellMar>
            <w:top w:w="0" w:type="dxa"/>
            <w:left w:w="108" w:type="dxa"/>
            <w:bottom w:w="0" w:type="dxa"/>
            <w:right w:w="108" w:type="dxa"/>
          </w:tblCellMar>
        </w:tblPrEx>
        <w:tc>
          <w:tcPr>
            <w:tcW w:w="3247" w:type="dxa"/>
            <w:tcBorders>
              <w:top w:val="single" w:color="000000" w:sz="8" w:space="0"/>
              <w:left w:val="single" w:color="000000" w:sz="8" w:space="0"/>
              <w:bottom w:val="single" w:color="000000" w:sz="8" w:space="0"/>
              <w:right w:val="dotted" w:color="auto" w:sz="4" w:space="0"/>
              <w:insideV w:val="single" w:sz="4" w:space="0"/>
            </w:tcBorders>
            <w:shd w:val="clear" w:color="auto" w:fill="FFFFFF"/>
            <w:vAlign w:val="center"/>
          </w:tcPr>
          <w:p w14:paraId="118258B5">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eastAsiaTheme="majorEastAsia"/>
                <w:i w:val="0"/>
                <w:iCs w:val="0"/>
                <w:color w:val="000000"/>
                <w:sz w:val="18"/>
                <w:szCs w:val="18"/>
                <w:lang w:val="en-US"/>
              </w:rPr>
            </w:pPr>
            <w:r>
              <w:rPr>
                <w:rFonts w:hint="default" w:ascii="Calibri" w:hAnsi="Calibri" w:cs="Calibri" w:eastAsiaTheme="majorEastAsia"/>
                <w:i w:val="0"/>
                <w:iCs w:val="0"/>
                <w:color w:val="000000"/>
                <w:sz w:val="18"/>
                <w:szCs w:val="18"/>
                <w:lang w:val="en-US"/>
              </w:rPr>
              <w:t>ImPaC (Implementation of Infant Pain Practice Change)</w:t>
            </w:r>
          </w:p>
        </w:tc>
        <w:tc>
          <w:tcPr>
            <w:tcW w:w="1381" w:type="dxa"/>
            <w:tcBorders>
              <w:top w:val="single" w:color="000000" w:sz="8" w:space="0"/>
              <w:left w:val="dotted" w:color="auto" w:sz="4" w:space="0"/>
              <w:bottom w:val="single" w:color="000000" w:sz="8" w:space="0"/>
              <w:right w:val="dotted" w:color="auto" w:sz="4" w:space="0"/>
            </w:tcBorders>
            <w:shd w:val="clear" w:color="auto" w:fill="FFFFFF"/>
            <w:vAlign w:val="center"/>
          </w:tcPr>
          <w:p w14:paraId="5091D0C6">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8"/>
                <w:szCs w:val="18"/>
                <w:lang w:val="es"/>
              </w:rPr>
            </w:pPr>
            <w:r>
              <w:rPr>
                <w:rFonts w:hint="default" w:ascii="Calibri" w:hAnsi="Calibri" w:cs="Calibri"/>
                <w:color w:val="000000"/>
                <w:sz w:val="18"/>
                <w:szCs w:val="18"/>
                <w:lang w:val="es"/>
              </w:rPr>
              <w:t>3</w:t>
            </w:r>
          </w:p>
        </w:tc>
        <w:tc>
          <w:tcPr>
            <w:tcW w:w="1269" w:type="dxa"/>
            <w:tcBorders>
              <w:top w:val="single" w:color="000000" w:sz="8" w:space="0"/>
              <w:left w:val="dotted" w:color="auto" w:sz="4" w:space="0"/>
              <w:bottom w:val="single" w:color="000000" w:sz="8" w:space="0"/>
              <w:right w:val="dotted" w:color="auto" w:sz="4" w:space="0"/>
            </w:tcBorders>
            <w:shd w:val="clear" w:color="auto" w:fill="FFFFFF"/>
            <w:vAlign w:val="center"/>
          </w:tcPr>
          <w:p w14:paraId="05031E8A">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8"/>
                <w:szCs w:val="18"/>
                <w:lang w:val="es"/>
              </w:rPr>
            </w:pPr>
            <w:r>
              <w:rPr>
                <w:rFonts w:hint="default" w:ascii="Calibri" w:hAnsi="Calibri" w:cs="Calibri"/>
                <w:color w:val="000000"/>
                <w:sz w:val="18"/>
                <w:szCs w:val="18"/>
                <w:lang w:val="es"/>
              </w:rPr>
              <w:t>100</w:t>
            </w:r>
          </w:p>
        </w:tc>
        <w:tc>
          <w:tcPr>
            <w:tcW w:w="3463" w:type="dxa"/>
            <w:tcBorders>
              <w:top w:val="single" w:color="000000" w:sz="8" w:space="0"/>
              <w:left w:val="dotted" w:color="auto" w:sz="4" w:space="0"/>
              <w:bottom w:val="single" w:color="000000" w:sz="8" w:space="0"/>
              <w:right w:val="single" w:color="000000" w:sz="8" w:space="0"/>
            </w:tcBorders>
            <w:shd w:val="clear" w:color="auto" w:fill="FFFFFF"/>
            <w:vAlign w:val="center"/>
          </w:tcPr>
          <w:p w14:paraId="63B7491B">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color w:val="000000"/>
                <w:sz w:val="18"/>
                <w:szCs w:val="18"/>
                <w:lang w:val="es"/>
              </w:rPr>
            </w:pPr>
            <w:r>
              <w:rPr>
                <w:rFonts w:hint="default" w:ascii="Calibri" w:hAnsi="Calibri" w:cs="Calibri"/>
                <w:color w:val="000000"/>
                <w:sz w:val="18"/>
                <w:szCs w:val="18"/>
                <w:lang w:val="es"/>
              </w:rPr>
              <w:t>Carlsen Misic et al. 2021; Llerena et al. 2023; Bošković &amp; Ličen, 2021</w:t>
            </w:r>
          </w:p>
        </w:tc>
      </w:tr>
    </w:tbl>
    <w:p w14:paraId="36A50A8E">
      <w:pPr>
        <w:keepNext w:val="0"/>
        <w:keepLines w:val="0"/>
        <w:pageBreakBefore w:val="0"/>
        <w:widowControl/>
        <w:kinsoku/>
        <w:wordWrap/>
        <w:overflowPunct/>
        <w:topLinePunct w:val="0"/>
        <w:autoSpaceDE/>
        <w:autoSpaceDN/>
        <w:bidi w:val="0"/>
        <w:adjustRightInd/>
        <w:snapToGrid/>
        <w:spacing w:before="181" w:beforeLines="50" w:after="0" w:line="240" w:lineRule="auto"/>
        <w:jc w:val="both"/>
        <w:textAlignment w:val="auto"/>
        <w:rPr>
          <w:rFonts w:hint="default" w:ascii="Calibri" w:hAnsi="Calibri" w:cs="Calibri"/>
          <w:b/>
          <w:bCs/>
          <w:sz w:val="22"/>
          <w:szCs w:val="22"/>
          <w:lang w:val="es"/>
        </w:rPr>
      </w:pPr>
      <w:r>
        <w:rPr>
          <w:rFonts w:hint="default" w:ascii="Calibri" w:hAnsi="Calibri" w:cs="Calibri"/>
          <w:b/>
          <w:bCs/>
          <w:sz w:val="22"/>
          <w:szCs w:val="22"/>
          <w:lang w:val="es"/>
        </w:rPr>
        <w:t>Categoría 3</w:t>
      </w:r>
      <w:r>
        <w:rPr>
          <w:rFonts w:hint="default" w:cs="Calibri"/>
          <w:b/>
          <w:bCs/>
          <w:sz w:val="22"/>
          <w:szCs w:val="22"/>
          <w:lang w:val="es-ES"/>
        </w:rPr>
        <w:t xml:space="preserve">: </w:t>
      </w:r>
      <w:r>
        <w:rPr>
          <w:rFonts w:hint="default" w:ascii="Calibri" w:hAnsi="Calibri" w:cs="Calibri"/>
          <w:b/>
          <w:bCs/>
          <w:sz w:val="22"/>
          <w:szCs w:val="22"/>
          <w:lang w:val="es"/>
        </w:rPr>
        <w:t>Impacto y efectividad de las intervenciones en la salud neonatal a corto y largo plazo (7 investigaciones)</w:t>
      </w:r>
    </w:p>
    <w:p w14:paraId="7492C991">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cs="Calibri"/>
          <w:bCs/>
          <w:sz w:val="22"/>
          <w:szCs w:val="22"/>
          <w:lang w:val="es"/>
        </w:rPr>
      </w:pPr>
      <w:r>
        <w:rPr>
          <w:rFonts w:hint="default" w:ascii="Calibri" w:hAnsi="Calibri" w:cs="Calibri"/>
          <w:bCs/>
          <w:sz w:val="22"/>
          <w:szCs w:val="22"/>
          <w:lang w:val="es"/>
        </w:rPr>
        <w:t>Las intervenciones de enfermería, como el manejo del dolor y el cuidado del desarrollo, tienen un impacto profundo en los resultados neonatales, subrayando la necesidad de prácticas basadas en evidencia para garantizar un cuidado integral y efectivo (Foster et al., 2024). En este contexto, el acceso a unidades de cuidados intensivos neonatales (NICU) ha demostrado reducir significativamente la mortalidad neonatal temprana, especialmente en neonatos de peso extremadamente bajo, sin aumentar las tasas de discapacidad a largo plazo, destacando el papel crítico de estas unidades en la mejora de los resultados neonatales (Hajdu et al., 2024).</w:t>
      </w:r>
    </w:p>
    <w:p w14:paraId="3E4BB3AA">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cs="Calibri"/>
          <w:bCs/>
          <w:sz w:val="22"/>
          <w:szCs w:val="22"/>
          <w:lang w:val="es"/>
        </w:rPr>
      </w:pPr>
      <w:r>
        <w:rPr>
          <w:rFonts w:hint="default" w:ascii="Calibri" w:hAnsi="Calibri" w:cs="Calibri"/>
          <w:bCs/>
          <w:sz w:val="22"/>
          <w:szCs w:val="22"/>
          <w:lang w:val="es"/>
        </w:rPr>
        <w:t>La implementación de recursos innovadores, como el ImPaC (Implementation of Infant Pain Practice Change), facilita cambios significativos en las prácticas clínicas relacionadas con el manejo del dolor neonatal, promoviendo estrategias basadas en evidencia que optimizan la atención (Bueno et al., 2020). Sin embargo, disparidades en el manejo del dolor persisten, especialmente en poblaciones vulnerables, como lo muestra el estudio de Kammerer et al. (2024), que documenta la falta de atención adecuada en niños marginados en departamentos de emergencia.</w:t>
      </w:r>
    </w:p>
    <w:p w14:paraId="7938617D">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cs="Calibri"/>
          <w:bCs/>
          <w:sz w:val="22"/>
          <w:szCs w:val="22"/>
          <w:lang w:val="es"/>
        </w:rPr>
      </w:pPr>
      <w:r>
        <w:rPr>
          <w:rFonts w:hint="default" w:ascii="Calibri" w:hAnsi="Calibri" w:cs="Calibri"/>
          <w:bCs/>
          <w:sz w:val="22"/>
          <w:szCs w:val="22"/>
          <w:lang w:val="es"/>
        </w:rPr>
        <w:t>Intervenciones no farmacológicas específicas también han demostrado beneficios en el desarrollo neurosensorial y el bienestar general de los neonatos. Estrategias como la música y el control ambiental (sonido y luz) han sido eficaces para promover el sueño y optimizar el desarrollo neurológico en neonatos prematuros en cuidados intensivos (Huang et al., 2021). Además, el enfoque de cuidado familiar integrado (FICare), que incluye la atención piel con piel y la participación parental en la toma de decisiones, no solo mejora los resultados clínicos neonatales, sino que también reduce el estrés parental, fortaleciendo la dinámica familiar desde el ingreso hospitalario (Karlsson et al., 2022).</w:t>
      </w:r>
    </w:p>
    <w:p w14:paraId="546BB218">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cs="Calibri"/>
          <w:bCs/>
          <w:sz w:val="22"/>
          <w:szCs w:val="22"/>
          <w:lang w:val="es"/>
        </w:rPr>
      </w:pPr>
      <w:r>
        <w:rPr>
          <w:rFonts w:hint="default" w:ascii="Calibri" w:hAnsi="Calibri" w:cs="Calibri"/>
          <w:bCs/>
          <w:sz w:val="22"/>
          <w:szCs w:val="22"/>
          <w:lang w:val="es"/>
        </w:rPr>
        <w:t>Por otro lado, la tecnología avanzada, como la espectroscopia de infrarrojo cercano (NIRS), ha demostrado ser una herramienta prometedora para monitorizar en tiempo real la oxigenación cerebral y tisular en neonatos, permitiendo la detección temprana de alteraciones y mejorando la precisión de las intervenciones (Altimier, 2024).En conjunto, estas intervenciones, tanto tecnológicas como centradas en el cuidado humano, destacan el impacto positivo y la efectividad de las estrategias basadas en evidencia en la salud neonatal, resaltando la importancia de integrarlas sistemáticamente en la práctica clínica para maximizar los beneficios a corto y largo plazo.</w:t>
      </w:r>
    </w:p>
    <w:p w14:paraId="3C578F36">
      <w:pPr>
        <w:keepNext w:val="0"/>
        <w:keepLines w:val="0"/>
        <w:pageBreakBefore w:val="0"/>
        <w:widowControl/>
        <w:kinsoku/>
        <w:wordWrap/>
        <w:overflowPunct/>
        <w:topLinePunct w:val="0"/>
        <w:autoSpaceDE/>
        <w:autoSpaceDN/>
        <w:bidi w:val="0"/>
        <w:adjustRightInd/>
        <w:snapToGrid/>
        <w:spacing w:before="181" w:beforeLines="50" w:after="0" w:line="260" w:lineRule="auto"/>
        <w:jc w:val="both"/>
        <w:textAlignment w:val="auto"/>
        <w:rPr>
          <w:rFonts w:hint="default" w:ascii="Calibri" w:hAnsi="Calibri" w:cs="Calibri"/>
          <w:b/>
          <w:bCs/>
          <w:sz w:val="24"/>
          <w:szCs w:val="24"/>
          <w:lang w:val="es"/>
        </w:rPr>
      </w:pPr>
      <w:r>
        <w:rPr>
          <w:rFonts w:hint="default" w:ascii="Calibri" w:hAnsi="Calibri" w:cs="Calibri"/>
          <w:b/>
          <w:bCs/>
          <w:sz w:val="24"/>
          <w:szCs w:val="24"/>
          <w:lang w:val="es"/>
        </w:rPr>
        <w:t>Discusión</w:t>
      </w:r>
    </w:p>
    <w:p w14:paraId="061DDE3E">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cs="Calibri"/>
          <w:bCs/>
          <w:sz w:val="20"/>
          <w:szCs w:val="20"/>
          <w:lang w:val="es-EC"/>
        </w:rPr>
      </w:pPr>
      <w:r>
        <w:rPr>
          <w:rFonts w:hint="default" w:ascii="Calibri" w:hAnsi="Calibri" w:cs="Calibri"/>
          <w:bCs/>
          <w:sz w:val="20"/>
          <w:szCs w:val="20"/>
          <w:lang w:val="es-EC"/>
        </w:rPr>
        <w:t>Los resultados de esta revisión destacan la importancia de las estrategias de enfermería en la gestión del dolor neonatal, con un enfoque particular en las intervenciones no farmacológicas, el uso de herramientas de evaluación y el impacto de estas prácticas en los resultados neonatales.</w:t>
      </w:r>
    </w:p>
    <w:p w14:paraId="42E398E9">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cs="Calibri"/>
          <w:bCs/>
          <w:sz w:val="20"/>
          <w:szCs w:val="20"/>
          <w:lang w:val="es-EC"/>
        </w:rPr>
      </w:pPr>
      <w:r>
        <w:rPr>
          <w:rFonts w:hint="default" w:ascii="Calibri" w:hAnsi="Calibri" w:cs="Calibri"/>
          <w:bCs/>
          <w:sz w:val="20"/>
          <w:szCs w:val="20"/>
          <w:lang w:val="es-EC"/>
        </w:rPr>
        <w:t>En cuanto a las estrategias no farmacológicas, los hallazgos muestran que el contacto piel con piel fue la intervención más utilizada, mencionada en el 41.7% de los estudios, debido a su capacidad para activar el sistema modulador del dolor endógeno, mejorar la estabilidad fisiológica y fortalecer el vínculo madre-hijo. Estrategias como la succión no nutritiva (33.3%) y la administración de soluciones dulces (16.7%) también mostraron ser efectivas para reducir el dolor durante procedimientos invasivos, mientras que el plegado facilitado (8.3%) fue menos documentado, pero igualmente prometedor como una medida complementaria (Jonusas et al., 2019; Díaz-Gómez, 2010; Jara et al., 2024). Sin embargo, la calidad de la evidencia varía, lo que subraya la necesidad de estudios adicionales para consolidar estas prácticas en los protocolos clínicos.</w:t>
      </w:r>
    </w:p>
    <w:p w14:paraId="306DF8D0">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cs="Calibri"/>
          <w:bCs/>
          <w:sz w:val="20"/>
          <w:szCs w:val="20"/>
          <w:lang w:val="es-EC"/>
        </w:rPr>
      </w:pPr>
      <w:r>
        <w:rPr>
          <w:rFonts w:hint="default" w:ascii="Calibri" w:hAnsi="Calibri" w:cs="Calibri"/>
          <w:bCs/>
          <w:sz w:val="20"/>
          <w:szCs w:val="20"/>
          <w:lang w:val="es-EC"/>
        </w:rPr>
        <w:t>El rol del personal de enfermería en la evaluación del dolor neonatal es fundamental para garantizar un manejo adecuado. Según la tabla sobre el uso de herramientas específicas, las tres herramientas más utilizadas se distribuyen equitativamente en los estudios revisados. La Face, Legs, Activity, Cry, Consolability Scale (FLACC), la Neonatal Infant Pain Scale (NIPS) y la Premature Infant Pain Profile (PIPP) fueron mencionadas en el 33.3% de los estudios respectivamente. Estas herramientas permiten una evaluación precisa del dolor, destacando su utilidad en procedimientos invasivos y situaciones clínicas complejas. Sin embargo, su implementación enfrenta barreras importantes como la falta de capacitación y la ausencia de protocolos uniformes, lo que limita su uso sistemático en entornos clínicos (Popowicz et al., 2021; Mekonen et al., 2024; Luo et al., 2023). A pesar de estas limitaciones, los resultados enfatizan que una evaluación precisa es esencial para garantizar una atención efectiva y humanizada.</w:t>
      </w:r>
    </w:p>
    <w:p w14:paraId="05EF190F">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cs="Calibri"/>
          <w:bCs/>
          <w:sz w:val="20"/>
          <w:szCs w:val="20"/>
          <w:lang w:val="es-EC"/>
        </w:rPr>
      </w:pPr>
      <w:r>
        <w:rPr>
          <w:rFonts w:hint="default" w:ascii="Calibri" w:hAnsi="Calibri" w:cs="Calibri"/>
          <w:bCs/>
          <w:sz w:val="20"/>
          <w:szCs w:val="20"/>
          <w:lang w:val="es-EC"/>
        </w:rPr>
        <w:t>Por otro lado, el impacto de estas intervenciones en los resultados neonatales a corto y largo plazo es significativo. Las estrategias revisadas, incluidas las no farmacológicas y el uso de herramientas de evaluación, no solo reducen el dolor, sino que también mejoran parámetros fisiológicos como la frecuencia cardíaca y la oxigenación cerebral. El enfoque centrado en la familia, como el modelo FICare, y el uso de tecnologías avanzadas, como la espectroscopia de infrarrojo cercano (NIRS), también contribuyen a optimizar la atención y reducir el estrés parental (Karlsson et al., 2022; Altimier, 2024). Sin embargo, las disparidades en la implementación de estas prácticas, especialmente en poblaciones vulnerables, destacan la necesidad de abordar las barreras estructurales y promover la equidad en la atención neonatal.</w:t>
      </w:r>
    </w:p>
    <w:p w14:paraId="1852D7AC">
      <w:pPr>
        <w:keepNext w:val="0"/>
        <w:keepLines w:val="0"/>
        <w:pageBreakBefore w:val="0"/>
        <w:widowControl/>
        <w:suppressLineNumbers w:val="0"/>
        <w:kinsoku/>
        <w:wordWrap/>
        <w:overflowPunct/>
        <w:topLinePunct w:val="0"/>
        <w:autoSpaceDE/>
        <w:autoSpaceDN/>
        <w:bidi w:val="0"/>
        <w:adjustRightInd/>
        <w:snapToGrid/>
        <w:spacing w:before="181" w:beforeLines="50"/>
        <w:jc w:val="both"/>
        <w:textAlignment w:val="auto"/>
        <w:rPr>
          <w:rFonts w:hint="default" w:ascii="Calibri" w:hAnsi="Calibri" w:eastAsia="Segoe UI" w:cs="Calibri"/>
          <w:b/>
          <w:bCs/>
          <w:i w:val="0"/>
          <w:iCs w:val="0"/>
          <w:caps w:val="0"/>
          <w:color w:val="000000"/>
          <w:spacing w:val="0"/>
          <w:kern w:val="0"/>
          <w:sz w:val="24"/>
          <w:szCs w:val="24"/>
          <w:highlight w:val="none"/>
          <w:bdr w:val="single" w:color="E5E7EB" w:sz="2" w:space="0"/>
          <w:lang w:val="es-ES" w:eastAsia="zh-CN"/>
        </w:rPr>
      </w:pPr>
      <w:r>
        <w:rPr>
          <w:rFonts w:hint="default" w:ascii="Calibri" w:hAnsi="Calibri" w:eastAsia="Segoe UI" w:cs="Calibri"/>
          <w:b/>
          <w:bCs/>
          <w:i w:val="0"/>
          <w:iCs w:val="0"/>
          <w:caps w:val="0"/>
          <w:color w:val="000000"/>
          <w:spacing w:val="0"/>
          <w:kern w:val="0"/>
          <w:sz w:val="24"/>
          <w:szCs w:val="24"/>
          <w:highlight w:val="none"/>
          <w:bdr w:val="single" w:color="E5E7EB" w:sz="2" w:space="0"/>
          <w:lang w:val="es-ES" w:eastAsia="zh-CN"/>
        </w:rPr>
        <w:t>Consideraciones finales</w:t>
      </w:r>
    </w:p>
    <w:p w14:paraId="2787223A">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eastAsia="Times New Roman" w:cs="Calibri"/>
          <w:sz w:val="20"/>
          <w:szCs w:val="20"/>
          <w:lang w:val="es"/>
        </w:rPr>
      </w:pPr>
      <w:r>
        <w:rPr>
          <w:rFonts w:hint="default" w:ascii="Calibri" w:hAnsi="Calibri" w:eastAsia="Times New Roman" w:cs="Calibri"/>
          <w:sz w:val="20"/>
          <w:szCs w:val="20"/>
          <w:lang w:val="es"/>
        </w:rPr>
        <w:t>Esta revisión resalta el papel fundamental del personal de enfermería en la gestión del dolor neonatal, evidenciando que las estrategias no farmacológicas, como el contacto piel con piel, la succión no nutritiva y el plegado facilitado, son herramientas efectivas y seguras para minimizar el dolor durante procedimientos invasivos. Además, el uso de escalas específicas como NIPS, FLACC y N-PASS permite a los profesionales identificar y evaluar el dolor de manera más precisa, aunque persisten barreras relacionadas con la falta de capacitación y la implementación de protocolos estandarizados.</w:t>
      </w:r>
    </w:p>
    <w:p w14:paraId="0638C717">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eastAsia="Times New Roman" w:cs="Calibri"/>
          <w:sz w:val="20"/>
          <w:szCs w:val="20"/>
          <w:lang w:val="es"/>
        </w:rPr>
      </w:pPr>
      <w:r>
        <w:rPr>
          <w:rFonts w:hint="default" w:ascii="Calibri" w:hAnsi="Calibri" w:eastAsia="Times New Roman" w:cs="Calibri"/>
          <w:sz w:val="20"/>
          <w:szCs w:val="20"/>
          <w:lang w:val="es"/>
        </w:rPr>
        <w:t>Asimismo, las intervenciones de enfermería centradas en la familia, como el enfoque FICare, y el uso de tecnologías avanzadas, como la espectroscopia de infrarrojo cercano (NIRS), han demostrado su efectividad no solo en la reducción del dolor neonatal, sino también en la mejora de los resultados clínicos y la calidad de vida de los neonatos y sus familias. Estas estrategias enfatizan la importancia de una atención integral, basada en evidencia y con un enfoque humanizado.</w:t>
      </w:r>
    </w:p>
    <w:p w14:paraId="4B3A83CA">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eastAsia="Times New Roman" w:cs="Calibri"/>
          <w:sz w:val="20"/>
          <w:szCs w:val="20"/>
          <w:lang w:val="es"/>
        </w:rPr>
      </w:pPr>
      <w:r>
        <w:rPr>
          <w:rFonts w:hint="default" w:ascii="Calibri" w:hAnsi="Calibri" w:eastAsia="Times New Roman" w:cs="Calibri"/>
          <w:sz w:val="20"/>
          <w:szCs w:val="20"/>
          <w:lang w:val="es"/>
        </w:rPr>
        <w:t>Sin embargo, esta revisión también identifica desafíos importantes, como las disparidades en la adopción de prácticas basadas en evidencia y la falta de herramientas más integrales para evaluar el dolor neonatal. Superar estas barreras requerirá un compromiso sostenido para fortalecer la formación del personal de enfermería, desarrollar protocolos estandarizados y fomentar la equidad en el acceso a cuidados neonatales de calidad.</w:t>
      </w:r>
    </w:p>
    <w:p w14:paraId="1EDEAC55">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eastAsia="Times New Roman" w:cs="Calibri"/>
          <w:sz w:val="20"/>
          <w:szCs w:val="20"/>
          <w:lang w:val="es"/>
        </w:rPr>
      </w:pPr>
      <w:r>
        <w:rPr>
          <w:rFonts w:hint="default" w:ascii="Calibri" w:hAnsi="Calibri" w:eastAsia="Times New Roman" w:cs="Calibri"/>
          <w:sz w:val="20"/>
          <w:szCs w:val="20"/>
          <w:lang w:val="es"/>
        </w:rPr>
        <w:t>En conclusión, el manejo del dolor neonatal debe ser una prioridad en los entornos hospitalarios, y las estrategias de enfermería desempeñan un rol crucial para garantizar una atención efectiva, segura y centrada en el desarrollo del recién nacido. Se recomienda continuar investigando sobre estas intervenciones, promoviendo su implementación sistemática y ajustándolas a las necesidades de cada contexto clínico.</w:t>
      </w:r>
    </w:p>
    <w:p w14:paraId="7FEEDFA8">
      <w:pPr>
        <w:pStyle w:val="3"/>
        <w:jc w:val="both"/>
        <w:rPr>
          <w:rFonts w:hint="default" w:ascii="Calibri" w:hAnsi="Calibri" w:cs="Calibri"/>
          <w:b/>
          <w:bCs/>
        </w:rPr>
      </w:pPr>
      <w:r>
        <w:rPr>
          <w:rFonts w:hint="default" w:ascii="Calibri" w:hAnsi="Calibri" w:cs="Calibri"/>
          <w:b/>
          <w:bCs/>
        </w:rPr>
        <w:t>Agradecimientos</w:t>
      </w:r>
    </w:p>
    <w:p w14:paraId="0A072359">
      <w:pPr>
        <w:spacing w:before="60" w:after="60" w:line="240" w:lineRule="auto"/>
        <w:ind w:firstLine="720"/>
        <w:jc w:val="both"/>
        <w:rPr>
          <w:rFonts w:hint="default" w:ascii="Calibri" w:hAnsi="Calibri" w:cs="Calibri"/>
          <w:szCs w:val="24"/>
          <w:lang w:val="es-ES"/>
        </w:rPr>
      </w:pPr>
      <w:r>
        <w:rPr>
          <w:rFonts w:hint="default" w:ascii="Calibri" w:hAnsi="Calibri" w:cs="Calibri"/>
          <w:sz w:val="20"/>
          <w:szCs w:val="20"/>
          <w:lang w:val="zh-CN"/>
        </w:rPr>
        <w:t xml:space="preserve">A </w:t>
      </w:r>
      <w:r>
        <w:rPr>
          <w:rFonts w:hint="default" w:ascii="Calibri" w:hAnsi="Calibri" w:cs="Calibri"/>
          <w:sz w:val="20"/>
          <w:szCs w:val="20"/>
          <w:lang w:val="es-ES"/>
        </w:rPr>
        <w:t>nuestras instituciones.</w:t>
      </w:r>
    </w:p>
    <w:p w14:paraId="4EE3D5C9">
      <w:pPr>
        <w:pStyle w:val="3"/>
        <w:rPr>
          <w:rFonts w:hint="default" w:ascii="Calibri" w:hAnsi="Calibri" w:cs="Calibri"/>
          <w:b/>
          <w:bCs/>
        </w:rPr>
      </w:pPr>
      <w:r>
        <w:rPr>
          <w:rFonts w:hint="default" w:ascii="Calibri" w:hAnsi="Calibri" w:cs="Calibri"/>
          <w:b/>
          <w:bCs/>
        </w:rPr>
        <w:t>Conflicto de intereses</w:t>
      </w:r>
    </w:p>
    <w:p w14:paraId="158D72AA">
      <w:pPr>
        <w:spacing w:before="60" w:after="60" w:line="240" w:lineRule="auto"/>
        <w:ind w:firstLine="720"/>
        <w:jc w:val="both"/>
        <w:rPr>
          <w:rFonts w:hint="default" w:ascii="Calibri" w:hAnsi="Calibri" w:cs="Calibri"/>
          <w:sz w:val="20"/>
          <w:lang w:val="es-ES"/>
        </w:rPr>
      </w:pPr>
      <w:r>
        <w:rPr>
          <w:rFonts w:hint="default" w:ascii="Calibri" w:hAnsi="Calibri" w:cs="Calibri"/>
          <w:sz w:val="20"/>
          <w:szCs w:val="20"/>
          <w:lang w:val="zh-CN"/>
        </w:rPr>
        <w:t>No se reporta conflicto de intereses.</w:t>
      </w:r>
    </w:p>
    <w:p w14:paraId="6E7493C9">
      <w:pPr>
        <w:pStyle w:val="3"/>
        <w:rPr>
          <w:rFonts w:hint="default" w:ascii="Calibri" w:hAnsi="Calibri" w:cs="Calibri"/>
          <w:b/>
          <w:bCs/>
        </w:rPr>
      </w:pPr>
      <w:r>
        <w:rPr>
          <w:rFonts w:hint="default" w:ascii="Calibri" w:hAnsi="Calibri" w:cs="Calibri"/>
          <w:b/>
          <w:bCs/>
        </w:rPr>
        <w:t>Referencias</w:t>
      </w:r>
    </w:p>
    <w:p w14:paraId="7A1FAE3E">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n-US"/>
        </w:rPr>
      </w:pPr>
      <w:r>
        <w:rPr>
          <w:rFonts w:hint="default" w:ascii="Calibri" w:hAnsi="Calibri" w:cs="Calibri"/>
          <w:b w:val="0"/>
          <w:bCs/>
          <w:sz w:val="22"/>
          <w:szCs w:val="22"/>
          <w:lang w:val="en-US"/>
        </w:rPr>
        <w:t xml:space="preserve">Altimier, L. (2023). Neonatal Nursing: Clinical Concepts and Practice Implications. </w:t>
      </w:r>
      <w:r>
        <w:rPr>
          <w:rFonts w:hint="default" w:ascii="Calibri" w:hAnsi="Calibri" w:cs="Calibri"/>
          <w:b w:val="0"/>
          <w:bCs/>
          <w:i/>
          <w:sz w:val="22"/>
          <w:szCs w:val="22"/>
          <w:lang w:val="en-US"/>
        </w:rPr>
        <w:t>Critical Care Nursing Clinics Of North America</w:t>
      </w:r>
      <w:r>
        <w:rPr>
          <w:rFonts w:hint="default" w:ascii="Calibri" w:hAnsi="Calibri" w:cs="Calibri"/>
          <w:b w:val="0"/>
          <w:bCs/>
          <w:sz w:val="22"/>
          <w:szCs w:val="22"/>
          <w:lang w:val="en-US"/>
        </w:rPr>
        <w:t xml:space="preserve">.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"https://doi.org/10.1016/j.cnc.2023.11.009" \h </w:instrText>
      </w:r>
      <w:r>
        <w:rPr>
          <w:rFonts w:hint="default" w:ascii="Calibri" w:hAnsi="Calibri" w:cs="Calibri"/>
          <w:sz w:val="22"/>
          <w:szCs w:val="22"/>
        </w:rPr>
        <w:fldChar w:fldCharType="separate"/>
      </w:r>
      <w:r>
        <w:rPr>
          <w:rStyle w:val="18"/>
          <w:rFonts w:hint="default" w:ascii="Calibri" w:hAnsi="Calibri" w:cs="Calibri"/>
          <w:b w:val="0"/>
          <w:bCs/>
          <w:sz w:val="22"/>
          <w:szCs w:val="22"/>
          <w:lang w:val="en-US"/>
        </w:rPr>
        <w:t>https://doi.org/10.1016/j.cnc.2023.11.009</w:t>
      </w:r>
      <w:r>
        <w:rPr>
          <w:rStyle w:val="18"/>
          <w:rFonts w:hint="default" w:ascii="Calibri" w:hAnsi="Calibri" w:cs="Calibri"/>
          <w:b w:val="0"/>
          <w:bCs/>
          <w:sz w:val="22"/>
          <w:szCs w:val="22"/>
          <w:lang w:val="en-US"/>
        </w:rPr>
        <w:fldChar w:fldCharType="end"/>
      </w:r>
      <w:r>
        <w:rPr>
          <w:rFonts w:hint="default" w:ascii="Calibri" w:hAnsi="Calibri" w:cs="Calibri"/>
          <w:b w:val="0"/>
          <w:bCs/>
          <w:sz w:val="22"/>
          <w:szCs w:val="22"/>
          <w:lang w:val="en-US"/>
        </w:rPr>
        <w:t xml:space="preserve"> </w:t>
      </w:r>
    </w:p>
    <w:p w14:paraId="2C6C8B24">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s"/>
        </w:rPr>
        <w:t xml:space="preserve">Álvarez, R. G. (2021). Manejo y control del dolor en unidades de cuidados intensivos neonatales. </w:t>
      </w:r>
      <w:r>
        <w:rPr>
          <w:rFonts w:hint="default" w:ascii="Calibri" w:hAnsi="Calibri" w:cs="Calibri"/>
          <w:b w:val="0"/>
          <w:bCs/>
          <w:i/>
          <w:sz w:val="22"/>
          <w:szCs w:val="22"/>
          <w:lang w:val="es"/>
        </w:rPr>
        <w:t>NPunto</w:t>
      </w:r>
      <w:r>
        <w:rPr>
          <w:rFonts w:hint="default" w:ascii="Calibri" w:hAnsi="Calibri" w:cs="Calibri"/>
          <w:b w:val="0"/>
          <w:bCs/>
          <w:sz w:val="22"/>
          <w:szCs w:val="22"/>
          <w:lang w:val="es"/>
        </w:rPr>
        <w:t xml:space="preserve">, </w:t>
      </w:r>
      <w:r>
        <w:rPr>
          <w:rFonts w:hint="default" w:ascii="Calibri" w:hAnsi="Calibri" w:cs="Calibri"/>
          <w:b w:val="0"/>
          <w:bCs/>
          <w:i/>
          <w:sz w:val="22"/>
          <w:szCs w:val="22"/>
          <w:lang w:val="es"/>
        </w:rPr>
        <w:t>4</w:t>
      </w:r>
      <w:r>
        <w:rPr>
          <w:rFonts w:hint="default" w:ascii="Calibri" w:hAnsi="Calibri" w:cs="Calibri"/>
          <w:b w:val="0"/>
          <w:bCs/>
          <w:sz w:val="22"/>
          <w:szCs w:val="22"/>
          <w:lang w:val="es"/>
        </w:rPr>
        <w:t xml:space="preserve">(43), 4-24. </w:t>
      </w:r>
    </w:p>
    <w:p w14:paraId="5B22BF6A">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s"/>
        </w:rPr>
        <w:t xml:space="preserve">Azevedo, N. F. A. N. F., Dias, T. D. T., Silva, M. P. C., Sampaio, M. V. R., Amaral, J. B. D., &amp; Contim, D. C. D. (2019). </w:t>
      </w:r>
      <w:r>
        <w:rPr>
          <w:rFonts w:hint="default" w:ascii="Calibri" w:hAnsi="Calibri" w:cs="Calibri"/>
          <w:b w:val="0"/>
          <w:bCs/>
          <w:sz w:val="22"/>
          <w:szCs w:val="22"/>
          <w:lang w:val="en-US"/>
        </w:rPr>
        <w:t xml:space="preserve">Knowledge of the nursing team about the newborn’s pain. </w:t>
      </w:r>
      <w:r>
        <w:rPr>
          <w:rFonts w:hint="default" w:ascii="Calibri" w:hAnsi="Calibri" w:cs="Calibri"/>
          <w:b w:val="0"/>
          <w:bCs/>
          <w:i/>
          <w:iCs/>
          <w:sz w:val="22"/>
          <w:szCs w:val="22"/>
          <w:lang w:val="en-US"/>
        </w:rPr>
        <w:t>Brazilian Journal Of Pain</w:t>
      </w:r>
      <w:r>
        <w:rPr>
          <w:rFonts w:hint="default" w:ascii="Calibri" w:hAnsi="Calibri" w:cs="Calibri"/>
          <w:b w:val="0"/>
          <w:bCs/>
          <w:sz w:val="22"/>
          <w:szCs w:val="22"/>
          <w:lang w:val="en-US"/>
        </w:rPr>
        <w:t xml:space="preserve">, </w:t>
      </w:r>
      <w:r>
        <w:rPr>
          <w:rFonts w:hint="default" w:ascii="Calibri" w:hAnsi="Calibri" w:cs="Calibri"/>
          <w:b w:val="0"/>
          <w:bCs/>
          <w:i/>
          <w:iCs/>
          <w:sz w:val="22"/>
          <w:szCs w:val="22"/>
          <w:lang w:val="en-US"/>
        </w:rPr>
        <w:t>2</w:t>
      </w:r>
      <w:r>
        <w:rPr>
          <w:rFonts w:hint="default" w:ascii="Calibri" w:hAnsi="Calibri" w:cs="Calibri"/>
          <w:b w:val="0"/>
          <w:bCs/>
          <w:sz w:val="22"/>
          <w:szCs w:val="22"/>
          <w:lang w:val="en-US"/>
        </w:rPr>
        <w:t xml:space="preserve">(4).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"https://doi.org/10.5935/2595-0118.20190061"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https://doi.org/10.5935/2595-0118.20190061</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5F162F74">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s"/>
        </w:rPr>
        <w:t xml:space="preserve">Barros, I., Lourenço, M., Nunes, E., &amp; Charepe, Z. (2021). Intervenções de Enfermagem Promotoras da Adaptação da Criança/Jovem/Família à Hospitalização: uma Scoping Review. </w:t>
      </w:r>
      <w:r>
        <w:rPr>
          <w:rFonts w:hint="default" w:ascii="Calibri" w:hAnsi="Calibri" w:cs="Calibri"/>
          <w:b w:val="0"/>
          <w:bCs/>
          <w:i/>
          <w:sz w:val="22"/>
          <w:szCs w:val="22"/>
          <w:lang w:val="es"/>
        </w:rPr>
        <w:t>Enfermería Global</w:t>
      </w:r>
      <w:r>
        <w:rPr>
          <w:rFonts w:hint="default" w:ascii="Calibri" w:hAnsi="Calibri" w:cs="Calibri"/>
          <w:b w:val="0"/>
          <w:bCs/>
          <w:sz w:val="22"/>
          <w:szCs w:val="22"/>
          <w:lang w:val="es"/>
        </w:rPr>
        <w:t xml:space="preserve">, </w:t>
      </w:r>
      <w:r>
        <w:rPr>
          <w:rFonts w:hint="default" w:ascii="Calibri" w:hAnsi="Calibri" w:cs="Calibri"/>
          <w:b w:val="0"/>
          <w:bCs/>
          <w:i/>
          <w:sz w:val="22"/>
          <w:szCs w:val="22"/>
          <w:lang w:val="es"/>
        </w:rPr>
        <w:t>20</w:t>
      </w:r>
      <w:r>
        <w:rPr>
          <w:rFonts w:hint="default" w:ascii="Calibri" w:hAnsi="Calibri" w:cs="Calibri"/>
          <w:b w:val="0"/>
          <w:bCs/>
          <w:sz w:val="22"/>
          <w:szCs w:val="22"/>
          <w:lang w:val="es"/>
        </w:rPr>
        <w:t xml:space="preserve">(1), 539-596.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"https://doi.org/10.6018/eglobal.413211"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https://doi.org/10.6018/eglobal.413211</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71276F32">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n-US"/>
        </w:rPr>
        <w:t xml:space="preserve">Bošković, S., &amp; Ličen, S. (2021). Identification of Neonatal Infant Pain Assessment Tools as a Possibility of Their Application in Clinical Practice in Croatia: An Integrative Literature Review. </w:t>
      </w:r>
      <w:r>
        <w:rPr>
          <w:rFonts w:hint="default" w:ascii="Calibri" w:hAnsi="Calibri" w:cs="Calibri"/>
          <w:b w:val="0"/>
          <w:bCs/>
          <w:i/>
          <w:sz w:val="22"/>
          <w:szCs w:val="22"/>
          <w:lang w:val="es"/>
        </w:rPr>
        <w:t>Pain Management Nursing</w:t>
      </w:r>
      <w:r>
        <w:rPr>
          <w:rFonts w:hint="default" w:ascii="Calibri" w:hAnsi="Calibri" w:cs="Calibri"/>
          <w:b w:val="0"/>
          <w:bCs/>
          <w:sz w:val="22"/>
          <w:szCs w:val="22"/>
          <w:lang w:val="es"/>
        </w:rPr>
        <w:t xml:space="preserve">, </w:t>
      </w:r>
      <w:r>
        <w:rPr>
          <w:rFonts w:hint="default" w:ascii="Calibri" w:hAnsi="Calibri" w:cs="Calibri"/>
          <w:b w:val="0"/>
          <w:bCs/>
          <w:i/>
          <w:sz w:val="22"/>
          <w:szCs w:val="22"/>
          <w:lang w:val="es"/>
        </w:rPr>
        <w:t>22</w:t>
      </w:r>
      <w:r>
        <w:rPr>
          <w:rFonts w:hint="default" w:ascii="Calibri" w:hAnsi="Calibri" w:cs="Calibri"/>
          <w:b w:val="0"/>
          <w:bCs/>
          <w:sz w:val="22"/>
          <w:szCs w:val="22"/>
          <w:lang w:val="es"/>
        </w:rPr>
        <w:t xml:space="preserve">(5), 674-680.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"https://doi.org/10.1016/j.pmn.2021.01.003"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https://doi.org/10.1016/j.pmn.2021.01.003</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10E1CD40">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n-US"/>
        </w:rPr>
        <w:t xml:space="preserve">Bueno, M., Stevens, B., Barwick, M. A., Riahi, S., Li, S., Lanese, A., Willan, A. R., Synnes, A., Estabrooks, C. A., Chambers, C. T., Harrison, D., Yamada, J., Stinson, J., Campbell-Yeo, M., Noel, M., Gibbins, S., LeMay, S., &amp; Isaranuwatchai, W. (2020). A cluster randomized clinical trial to evaluate the effectiveness of the Implementation of Infant Pain Practice Change (ImPaC) Resource to improve pain practices in hospitalized infants: a study protocol. </w:t>
      </w:r>
      <w:r>
        <w:rPr>
          <w:rFonts w:hint="default" w:ascii="Calibri" w:hAnsi="Calibri" w:cs="Calibri"/>
          <w:b w:val="0"/>
          <w:bCs/>
          <w:i/>
          <w:sz w:val="22"/>
          <w:szCs w:val="22"/>
          <w:lang w:val="es"/>
        </w:rPr>
        <w:t>Trials</w:t>
      </w:r>
      <w:r>
        <w:rPr>
          <w:rFonts w:hint="default" w:ascii="Calibri" w:hAnsi="Calibri" w:cs="Calibri"/>
          <w:b w:val="0"/>
          <w:bCs/>
          <w:sz w:val="22"/>
          <w:szCs w:val="22"/>
          <w:lang w:val="es"/>
        </w:rPr>
        <w:t xml:space="preserve">, </w:t>
      </w:r>
      <w:r>
        <w:rPr>
          <w:rFonts w:hint="default" w:ascii="Calibri" w:hAnsi="Calibri" w:cs="Calibri"/>
          <w:b w:val="0"/>
          <w:bCs/>
          <w:i/>
          <w:sz w:val="22"/>
          <w:szCs w:val="22"/>
          <w:lang w:val="es"/>
        </w:rPr>
        <w:t>21</w:t>
      </w:r>
      <w:r>
        <w:rPr>
          <w:rFonts w:hint="default" w:ascii="Calibri" w:hAnsi="Calibri" w:cs="Calibri"/>
          <w:b w:val="0"/>
          <w:bCs/>
          <w:sz w:val="22"/>
          <w:szCs w:val="22"/>
          <w:lang w:val="es"/>
        </w:rPr>
        <w:t xml:space="preserve">(1).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"https://doi.org/10.1186/s13063-019-3782-9"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https://doi.org/10.1186/s13063-019-3782-9</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418BBBEF">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s"/>
        </w:rPr>
        <w:t xml:space="preserve">Díaz-Gómez, N. M. (2010). Prevención del dolor en el recién nacido. Intervenciones no farmacológicas. </w:t>
      </w:r>
      <w:r>
        <w:rPr>
          <w:rFonts w:hint="default" w:ascii="Calibri" w:hAnsi="Calibri" w:cs="Calibri"/>
          <w:b w:val="0"/>
          <w:bCs/>
          <w:i/>
          <w:sz w:val="22"/>
          <w:szCs w:val="22"/>
          <w:lang w:val="es"/>
        </w:rPr>
        <w:t>Anales de Pediatría Continuada</w:t>
      </w:r>
      <w:r>
        <w:rPr>
          <w:rFonts w:hint="default" w:ascii="Calibri" w:hAnsi="Calibri" w:cs="Calibri"/>
          <w:b w:val="0"/>
          <w:bCs/>
          <w:sz w:val="22"/>
          <w:szCs w:val="22"/>
          <w:lang w:val="es"/>
        </w:rPr>
        <w:t xml:space="preserve">, </w:t>
      </w:r>
      <w:r>
        <w:rPr>
          <w:rFonts w:hint="default" w:ascii="Calibri" w:hAnsi="Calibri" w:cs="Calibri"/>
          <w:b w:val="0"/>
          <w:bCs/>
          <w:i/>
          <w:sz w:val="22"/>
          <w:szCs w:val="22"/>
          <w:lang w:val="es"/>
        </w:rPr>
        <w:t>8</w:t>
      </w:r>
      <w:r>
        <w:rPr>
          <w:rFonts w:hint="default" w:ascii="Calibri" w:hAnsi="Calibri" w:cs="Calibri"/>
          <w:b w:val="0"/>
          <w:bCs/>
          <w:sz w:val="22"/>
          <w:szCs w:val="22"/>
          <w:lang w:val="es"/>
        </w:rPr>
        <w:t xml:space="preserve">(6), 318-321.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"https://doi.org/10.1016/s1696-2818(10)70056-1"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https://doi.org/10.1016/s1696-2818(10)70056-1</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28B595B2">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n-US"/>
        </w:rPr>
        <w:t xml:space="preserve">Foster, J., Pathrose, S. P., Briguglio, L., Trajkovski, S., Lowe, P., Muirhead, R., Jyoti, J., Ng, L., Blay, N., Spence, K., Chetty, N., &amp; Broom, M. (2024). Scoping review of systematic reviews of nursing interventions in a neonatal intensive care unit or special care nursery. </w:t>
      </w:r>
      <w:r>
        <w:rPr>
          <w:rFonts w:hint="default" w:ascii="Calibri" w:hAnsi="Calibri" w:cs="Calibri"/>
          <w:b w:val="0"/>
          <w:bCs/>
          <w:i/>
          <w:sz w:val="22"/>
          <w:szCs w:val="22"/>
          <w:lang w:val="es"/>
        </w:rPr>
        <w:t>Journal Of Clinical Nursing</w:t>
      </w:r>
      <w:r>
        <w:rPr>
          <w:rFonts w:hint="default" w:ascii="Calibri" w:hAnsi="Calibri" w:cs="Calibri"/>
          <w:b w:val="0"/>
          <w:bCs/>
          <w:sz w:val="22"/>
          <w:szCs w:val="22"/>
          <w:lang w:val="es"/>
        </w:rPr>
        <w:t xml:space="preserve">.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"https://doi.org/10.1111/jocn.17053"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https://doi.org/10.1111/jocn.17053</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593C8748">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s"/>
        </w:rPr>
        <w:t xml:space="preserve">Hajdu, T., Kertesi, G., Kézdi, G., &amp; Szabó-Morvai, Á. (2023). </w:t>
      </w:r>
      <w:r>
        <w:rPr>
          <w:rFonts w:hint="default" w:ascii="Calibri" w:hAnsi="Calibri" w:cs="Calibri"/>
          <w:b w:val="0"/>
          <w:bCs/>
          <w:sz w:val="22"/>
          <w:szCs w:val="22"/>
          <w:lang w:val="en-US"/>
        </w:rPr>
        <w:t xml:space="preserve">The Effects of Neonatal Intensive Care on Infant Mortality and Long-Term Health Impairments. </w:t>
      </w:r>
      <w:r>
        <w:rPr>
          <w:rFonts w:hint="default" w:ascii="Calibri" w:hAnsi="Calibri" w:cs="Calibri"/>
          <w:b w:val="0"/>
          <w:bCs/>
          <w:i/>
          <w:sz w:val="22"/>
          <w:szCs w:val="22"/>
          <w:lang w:val="es"/>
        </w:rPr>
        <w:t>American Journal Of Health Economics</w:t>
      </w:r>
      <w:r>
        <w:rPr>
          <w:rFonts w:hint="default" w:ascii="Calibri" w:hAnsi="Calibri" w:cs="Calibri"/>
          <w:b w:val="0"/>
          <w:bCs/>
          <w:sz w:val="22"/>
          <w:szCs w:val="22"/>
          <w:lang w:val="es"/>
        </w:rPr>
        <w:t xml:space="preserve">, 000.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"https://doi.org/10.1086/724219"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https://doi.org/10.1086/724219</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021EC926">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s"/>
        </w:rPr>
        <w:t xml:space="preserve">Hernández, G. E. J., Romero, J. A. B., Caraballo, Á. A. S., &amp; Zuluaga, M. E. P. (2023). Escalas para valoración del dolor neonatal: Una revisión integrativa. </w:t>
      </w:r>
      <w:r>
        <w:rPr>
          <w:rFonts w:hint="default" w:ascii="Calibri" w:hAnsi="Calibri" w:cs="Calibri"/>
          <w:b w:val="0"/>
          <w:bCs/>
          <w:i/>
          <w:sz w:val="22"/>
          <w:szCs w:val="22"/>
          <w:lang w:val="es"/>
        </w:rPr>
        <w:t>Revista CUIDARTE</w:t>
      </w:r>
      <w:r>
        <w:rPr>
          <w:rFonts w:hint="default" w:ascii="Calibri" w:hAnsi="Calibri" w:cs="Calibri"/>
          <w:b w:val="0"/>
          <w:bCs/>
          <w:sz w:val="22"/>
          <w:szCs w:val="22"/>
          <w:lang w:val="es"/>
        </w:rPr>
        <w:t xml:space="preserve">.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"https://doi.org/10.15649/cuidarte.2760"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https://doi.org/10.15649/cuidarte.2760</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7217712C">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s"/>
        </w:rPr>
        <w:t xml:space="preserve">Hertel, V. L., Colósimo, L. A. M., &amp; Da Silva, P. R. (2019). </w:t>
      </w:r>
      <w:r>
        <w:rPr>
          <w:rFonts w:hint="default" w:ascii="Calibri" w:hAnsi="Calibri" w:cs="Calibri"/>
          <w:b w:val="0"/>
          <w:bCs/>
          <w:sz w:val="22"/>
          <w:szCs w:val="22"/>
          <w:lang w:val="en-US"/>
        </w:rPr>
        <w:t xml:space="preserve">Perceptions of nursing professionals front the pain of newborns in a neonatal intensive therapy unit. </w:t>
      </w:r>
      <w:r>
        <w:rPr>
          <w:rFonts w:hint="default" w:ascii="Calibri" w:hAnsi="Calibri" w:cs="Calibri"/>
          <w:b w:val="0"/>
          <w:bCs/>
          <w:i/>
          <w:iCs/>
          <w:sz w:val="22"/>
          <w:szCs w:val="22"/>
          <w:lang w:val="es"/>
        </w:rPr>
        <w:t>Acta Scientiarum Health Sciences</w:t>
      </w:r>
      <w:r>
        <w:rPr>
          <w:rFonts w:hint="default" w:ascii="Calibri" w:hAnsi="Calibri" w:cs="Calibri"/>
          <w:b w:val="0"/>
          <w:bCs/>
          <w:sz w:val="22"/>
          <w:szCs w:val="22"/>
          <w:lang w:val="es"/>
        </w:rPr>
        <w:t xml:space="preserve">, </w:t>
      </w:r>
      <w:r>
        <w:rPr>
          <w:rFonts w:hint="default" w:ascii="Calibri" w:hAnsi="Calibri" w:cs="Calibri"/>
          <w:b w:val="0"/>
          <w:bCs/>
          <w:i/>
          <w:iCs/>
          <w:sz w:val="22"/>
          <w:szCs w:val="22"/>
          <w:lang w:val="es"/>
        </w:rPr>
        <w:t>41</w:t>
      </w:r>
      <w:r>
        <w:rPr>
          <w:rFonts w:hint="default" w:ascii="Calibri" w:hAnsi="Calibri" w:cs="Calibri"/>
          <w:b w:val="0"/>
          <w:bCs/>
          <w:sz w:val="22"/>
          <w:szCs w:val="22"/>
          <w:lang w:val="es"/>
        </w:rPr>
        <w:t xml:space="preserve">(1), 40288.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"https://doi.org/10.4025/actascihealthsci.v41i1.40288"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https://doi.org/10.4025/actascihealthsci.v41i1.40288</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085D91F0">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n-US"/>
        </w:rPr>
        <w:t xml:space="preserve">Huang, Q., Lai, X., Liao, J., &amp; Tan, Y. (2021). Effect of non-pharmacological interventions on sleep in preterm infants in the neonatal intensive care unit. </w:t>
      </w:r>
      <w:r>
        <w:rPr>
          <w:rFonts w:hint="default" w:ascii="Calibri" w:hAnsi="Calibri" w:cs="Calibri"/>
          <w:b w:val="0"/>
          <w:bCs/>
          <w:i/>
          <w:sz w:val="22"/>
          <w:szCs w:val="22"/>
          <w:lang w:val="es"/>
        </w:rPr>
        <w:t>Medicine</w:t>
      </w:r>
      <w:r>
        <w:rPr>
          <w:rFonts w:hint="default" w:ascii="Calibri" w:hAnsi="Calibri" w:cs="Calibri"/>
          <w:b w:val="0"/>
          <w:bCs/>
          <w:sz w:val="22"/>
          <w:szCs w:val="22"/>
          <w:lang w:val="es"/>
        </w:rPr>
        <w:t xml:space="preserve">, </w:t>
      </w:r>
      <w:r>
        <w:rPr>
          <w:rFonts w:hint="default" w:ascii="Calibri" w:hAnsi="Calibri" w:cs="Calibri"/>
          <w:b w:val="0"/>
          <w:bCs/>
          <w:i/>
          <w:sz w:val="22"/>
          <w:szCs w:val="22"/>
          <w:lang w:val="es"/>
        </w:rPr>
        <w:t>100</w:t>
      </w:r>
      <w:r>
        <w:rPr>
          <w:rFonts w:hint="default" w:ascii="Calibri" w:hAnsi="Calibri" w:cs="Calibri"/>
          <w:b w:val="0"/>
          <w:bCs/>
          <w:sz w:val="22"/>
          <w:szCs w:val="22"/>
          <w:lang w:val="es"/>
        </w:rPr>
        <w:t xml:space="preserve">(43), e27587.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"https://doi.org/10.1097/md.0000000000027587"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https://doi.org/10.1097/md.0000000000027587</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08B44C6D">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s"/>
        </w:rPr>
        <w:t xml:space="preserve">Jara, S. R. C., Barzola, G. A. J., Galeas, L. A. C., Fuentes, K. Q. G., &amp; Valencia, W. C. N. (2024). Estrategias de intervención de enfermería para el manejo del dolor y sedación en pacientes pediátricos críticos. </w:t>
      </w:r>
      <w:r>
        <w:rPr>
          <w:rFonts w:hint="default" w:ascii="Calibri" w:hAnsi="Calibri" w:cs="Calibri"/>
          <w:b w:val="0"/>
          <w:bCs/>
          <w:i/>
          <w:sz w:val="22"/>
          <w:szCs w:val="22"/>
          <w:lang w:val="es"/>
        </w:rPr>
        <w:t>Revista Social Fronteriza</w:t>
      </w:r>
      <w:r>
        <w:rPr>
          <w:rFonts w:hint="default" w:ascii="Calibri" w:hAnsi="Calibri" w:cs="Calibri"/>
          <w:b w:val="0"/>
          <w:bCs/>
          <w:sz w:val="22"/>
          <w:szCs w:val="22"/>
          <w:lang w:val="es"/>
        </w:rPr>
        <w:t xml:space="preserve">, </w:t>
      </w:r>
      <w:r>
        <w:rPr>
          <w:rFonts w:hint="default" w:ascii="Calibri" w:hAnsi="Calibri" w:cs="Calibri"/>
          <w:b w:val="0"/>
          <w:bCs/>
          <w:i/>
          <w:sz w:val="22"/>
          <w:szCs w:val="22"/>
          <w:lang w:val="es"/>
        </w:rPr>
        <w:t>4</w:t>
      </w:r>
      <w:r>
        <w:rPr>
          <w:rFonts w:hint="default" w:ascii="Calibri" w:hAnsi="Calibri" w:cs="Calibri"/>
          <w:b w:val="0"/>
          <w:bCs/>
          <w:sz w:val="22"/>
          <w:szCs w:val="22"/>
          <w:lang w:val="es"/>
        </w:rPr>
        <w:t xml:space="preserve">(3).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"https://doi.org/10.59814/resofro.2024.4(3)311"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https://doi.org/10.59814/resofro.2024.4(3)311</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07E4B9D5">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s"/>
        </w:rPr>
        <w:t xml:space="preserve">Jonusas, S. F., Funesc, S., Galettod, S., Herrerab, S., Juáreze, C. E., Lewf, A., &amp; Van Ooteghemd, M. (2019). Manejo del dolor en Neonatología. </w:t>
      </w:r>
      <w:r>
        <w:rPr>
          <w:rFonts w:hint="default" w:ascii="Calibri" w:hAnsi="Calibri" w:cs="Calibri"/>
          <w:b w:val="0"/>
          <w:bCs/>
          <w:i/>
          <w:iCs/>
          <w:sz w:val="22"/>
          <w:szCs w:val="22"/>
          <w:lang w:val="es"/>
        </w:rPr>
        <w:t>Archivos Argentinos de Pediatria,</w:t>
      </w:r>
      <w:r>
        <w:rPr>
          <w:rFonts w:hint="default" w:ascii="Calibri" w:hAnsi="Calibri" w:cs="Calibri"/>
          <w:b w:val="0"/>
          <w:bCs/>
          <w:sz w:val="22"/>
          <w:szCs w:val="22"/>
          <w:lang w:val="es"/>
        </w:rPr>
        <w:t xml:space="preserve"> 117(5), 180–194.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"https://doi.org/10.5546/aap.2019.s180"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https://doi.org/10.5546/aap.2019.s180</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6CB9D7C0">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n-US"/>
        </w:rPr>
        <w:t xml:space="preserve">Kammerer, E., Elliott, S. A., Hartling, L., Basi, C., Dennett, L., Khangura, J. K., Scott, S. D., Candelaria, P., Ruzycki, S., &amp; Ali, S. (2024). Pain experiences of marginalized children in the emergency department: A scoping review protocol. </w:t>
      </w:r>
      <w:r>
        <w:rPr>
          <w:rFonts w:hint="default" w:ascii="Calibri" w:hAnsi="Calibri" w:cs="Calibri"/>
          <w:b w:val="0"/>
          <w:bCs/>
          <w:i/>
          <w:sz w:val="22"/>
          <w:szCs w:val="22"/>
          <w:lang w:val="es"/>
        </w:rPr>
        <w:t>PLoS ONE</w:t>
      </w:r>
      <w:r>
        <w:rPr>
          <w:rFonts w:hint="default" w:ascii="Calibri" w:hAnsi="Calibri" w:cs="Calibri"/>
          <w:b w:val="0"/>
          <w:bCs/>
          <w:sz w:val="22"/>
          <w:szCs w:val="22"/>
          <w:lang w:val="es"/>
        </w:rPr>
        <w:t xml:space="preserve">, </w:t>
      </w:r>
      <w:r>
        <w:rPr>
          <w:rFonts w:hint="default" w:ascii="Calibri" w:hAnsi="Calibri" w:cs="Calibri"/>
          <w:b w:val="0"/>
          <w:bCs/>
          <w:i/>
          <w:sz w:val="22"/>
          <w:szCs w:val="22"/>
          <w:lang w:val="es"/>
        </w:rPr>
        <w:t>19</w:t>
      </w:r>
      <w:r>
        <w:rPr>
          <w:rFonts w:hint="default" w:ascii="Calibri" w:hAnsi="Calibri" w:cs="Calibri"/>
          <w:b w:val="0"/>
          <w:bCs/>
          <w:sz w:val="22"/>
          <w:szCs w:val="22"/>
          <w:lang w:val="es"/>
        </w:rPr>
        <w:t xml:space="preserve">(4), e0296518.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"https://doi.org/10.1371/journal.pone.0296518"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https://doi.org/10.1371/journal.pone.0296518</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3096C382">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n-US"/>
        </w:rPr>
        <w:t xml:space="preserve">Kammerer, E., Fawcett-Arsenault, J., Iliscupidez, L., &amp; Ali, S. (2024). Healthcare Professionals’ Perspectives on Improving Family-Centred Pain Care in a Tertiary Pediatric Centre. </w:t>
      </w:r>
      <w:r>
        <w:rPr>
          <w:rFonts w:hint="default" w:ascii="Calibri" w:hAnsi="Calibri" w:cs="Calibri"/>
          <w:b w:val="0"/>
          <w:bCs/>
          <w:i/>
          <w:sz w:val="22"/>
          <w:szCs w:val="22"/>
          <w:lang w:val="es"/>
        </w:rPr>
        <w:t>Canadian Journal Of Nursing Research</w:t>
      </w:r>
      <w:r>
        <w:rPr>
          <w:rFonts w:hint="default" w:ascii="Calibri" w:hAnsi="Calibri" w:cs="Calibri"/>
          <w:b w:val="0"/>
          <w:bCs/>
          <w:sz w:val="22"/>
          <w:szCs w:val="22"/>
          <w:lang w:val="es"/>
        </w:rPr>
        <w:t xml:space="preserve">, </w:t>
      </w:r>
      <w:r>
        <w:rPr>
          <w:rFonts w:hint="default" w:ascii="Calibri" w:hAnsi="Calibri" w:cs="Calibri"/>
          <w:b w:val="0"/>
          <w:bCs/>
          <w:i/>
          <w:sz w:val="22"/>
          <w:szCs w:val="22"/>
          <w:lang w:val="es"/>
        </w:rPr>
        <w:t>56</w:t>
      </w:r>
      <w:r>
        <w:rPr>
          <w:rFonts w:hint="default" w:ascii="Calibri" w:hAnsi="Calibri" w:cs="Calibri"/>
          <w:b w:val="0"/>
          <w:bCs/>
          <w:sz w:val="22"/>
          <w:szCs w:val="22"/>
          <w:lang w:val="es"/>
        </w:rPr>
        <w:t xml:space="preserve">(2), 171-177.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"https://doi.org/10.1177/08445621241228063"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https://doi.org/10.1177/08445621241228063</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22D7154A">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n-US"/>
        </w:rPr>
        <w:t xml:space="preserve">Kammerer, E., Linkiewich, D., &amp; Ali, S. (2023). Healthcare professionals’ perspectives on optimizing pain care-related education at a Canadian children’s hospital: A qualitative study. </w:t>
      </w:r>
      <w:r>
        <w:rPr>
          <w:rFonts w:hint="default" w:ascii="Calibri" w:hAnsi="Calibri" w:cs="Calibri"/>
          <w:b w:val="0"/>
          <w:bCs/>
          <w:i/>
          <w:sz w:val="22"/>
          <w:szCs w:val="22"/>
          <w:lang w:val="es"/>
        </w:rPr>
        <w:t>Paediatrics &amp; Child Health</w:t>
      </w:r>
      <w:r>
        <w:rPr>
          <w:rFonts w:hint="default" w:ascii="Calibri" w:hAnsi="Calibri" w:cs="Calibri"/>
          <w:b w:val="0"/>
          <w:bCs/>
          <w:sz w:val="22"/>
          <w:szCs w:val="22"/>
          <w:lang w:val="es"/>
        </w:rPr>
        <w:t xml:space="preserve">, </w:t>
      </w:r>
      <w:r>
        <w:rPr>
          <w:rFonts w:hint="default" w:ascii="Calibri" w:hAnsi="Calibri" w:cs="Calibri"/>
          <w:b w:val="0"/>
          <w:bCs/>
          <w:i/>
          <w:sz w:val="22"/>
          <w:szCs w:val="22"/>
          <w:lang w:val="es"/>
        </w:rPr>
        <w:t>29</w:t>
      </w:r>
      <w:r>
        <w:rPr>
          <w:rFonts w:hint="default" w:ascii="Calibri" w:hAnsi="Calibri" w:cs="Calibri"/>
          <w:b w:val="0"/>
          <w:bCs/>
          <w:sz w:val="22"/>
          <w:szCs w:val="22"/>
          <w:lang w:val="es"/>
        </w:rPr>
        <w:t xml:space="preserve">(3), 163-167.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"https://doi.org/10.1093/pch/pxad071"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https://doi.org/10.1093/pch/pxad071</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3058812A">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n-US"/>
        </w:rPr>
      </w:pPr>
      <w:r>
        <w:rPr>
          <w:rFonts w:hint="default" w:ascii="Calibri" w:hAnsi="Calibri" w:cs="Calibri"/>
          <w:b w:val="0"/>
          <w:bCs/>
          <w:sz w:val="22"/>
          <w:szCs w:val="22"/>
          <w:lang w:val="en-US"/>
        </w:rPr>
        <w:t xml:space="preserve">Karlsson, V., Blomqvist, Y. T., &amp; Ågren, J. (2022). Nursing care of infants born extremely preterm. </w:t>
      </w:r>
      <w:r>
        <w:rPr>
          <w:rFonts w:hint="default" w:ascii="Calibri" w:hAnsi="Calibri" w:cs="Calibri"/>
          <w:b w:val="0"/>
          <w:bCs/>
          <w:i/>
          <w:sz w:val="22"/>
          <w:szCs w:val="22"/>
          <w:lang w:val="en-US"/>
        </w:rPr>
        <w:t>Seminars In Fetal And Neonatal Medicine</w:t>
      </w:r>
      <w:r>
        <w:rPr>
          <w:rFonts w:hint="default" w:ascii="Calibri" w:hAnsi="Calibri" w:cs="Calibri"/>
          <w:b w:val="0"/>
          <w:bCs/>
          <w:sz w:val="22"/>
          <w:szCs w:val="22"/>
          <w:lang w:val="en-US"/>
        </w:rPr>
        <w:t xml:space="preserve">, </w:t>
      </w:r>
      <w:r>
        <w:rPr>
          <w:rFonts w:hint="default" w:ascii="Calibri" w:hAnsi="Calibri" w:cs="Calibri"/>
          <w:b w:val="0"/>
          <w:bCs/>
          <w:i/>
          <w:sz w:val="22"/>
          <w:szCs w:val="22"/>
          <w:lang w:val="en-US"/>
        </w:rPr>
        <w:t>27</w:t>
      </w:r>
      <w:r>
        <w:rPr>
          <w:rFonts w:hint="default" w:ascii="Calibri" w:hAnsi="Calibri" w:cs="Calibri"/>
          <w:b w:val="0"/>
          <w:bCs/>
          <w:sz w:val="22"/>
          <w:szCs w:val="22"/>
          <w:lang w:val="en-US"/>
        </w:rPr>
        <w:t xml:space="preserve">(3), 101369.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"https://doi.org/10.1016/j.siny.2022.101369" \h </w:instrText>
      </w:r>
      <w:r>
        <w:rPr>
          <w:rFonts w:hint="default" w:ascii="Calibri" w:hAnsi="Calibri" w:cs="Calibri"/>
          <w:sz w:val="22"/>
          <w:szCs w:val="22"/>
        </w:rPr>
        <w:fldChar w:fldCharType="separate"/>
      </w:r>
      <w:r>
        <w:rPr>
          <w:rStyle w:val="18"/>
          <w:rFonts w:hint="default" w:ascii="Calibri" w:hAnsi="Calibri" w:cs="Calibri"/>
          <w:b w:val="0"/>
          <w:bCs/>
          <w:sz w:val="22"/>
          <w:szCs w:val="22"/>
          <w:lang w:val="en-US"/>
        </w:rPr>
        <w:t>https://doi.org/10.1016/j.siny.2022.101369</w:t>
      </w:r>
      <w:r>
        <w:rPr>
          <w:rStyle w:val="18"/>
          <w:rFonts w:hint="default" w:ascii="Calibri" w:hAnsi="Calibri" w:cs="Calibri"/>
          <w:b w:val="0"/>
          <w:bCs/>
          <w:sz w:val="22"/>
          <w:szCs w:val="22"/>
          <w:lang w:val="en-US"/>
        </w:rPr>
        <w:fldChar w:fldCharType="end"/>
      </w:r>
      <w:r>
        <w:rPr>
          <w:rFonts w:hint="default" w:ascii="Calibri" w:hAnsi="Calibri" w:cs="Calibri"/>
          <w:b w:val="0"/>
          <w:bCs/>
          <w:sz w:val="22"/>
          <w:szCs w:val="22"/>
          <w:lang w:val="en-US"/>
        </w:rPr>
        <w:t xml:space="preserve"> </w:t>
      </w:r>
    </w:p>
    <w:p w14:paraId="4E5FF476">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s"/>
        </w:rPr>
        <w:t xml:space="preserve">Lima dos Santos, Iarla Josefa, Castelo Branco de Oliveira, Ana Lívia, Assis Brito, Mychelangela, Ribeiro da Costa, Girlene, Soares e Silva, Joyce, &amp; Astrês Fernandes, Márcia. </w:t>
      </w:r>
      <w:r>
        <w:rPr>
          <w:rFonts w:hint="default" w:ascii="Calibri" w:hAnsi="Calibri" w:cs="Calibri"/>
          <w:b w:val="0"/>
          <w:bCs/>
          <w:sz w:val="22"/>
          <w:szCs w:val="22"/>
          <w:lang w:val="en-US"/>
        </w:rPr>
        <w:t xml:space="preserve">(2021). Nursing Care in the Neonatal Intensive Care Unit from the Perspective of Nurses. </w:t>
      </w:r>
      <w:r>
        <w:rPr>
          <w:rFonts w:hint="default" w:ascii="Calibri" w:hAnsi="Calibri" w:cs="Calibri"/>
          <w:b w:val="0"/>
          <w:bCs/>
          <w:i/>
          <w:sz w:val="22"/>
          <w:szCs w:val="22"/>
          <w:lang w:val="en-US"/>
        </w:rPr>
        <w:t>Revista Cubana de Enfermería</w:t>
      </w:r>
      <w:r>
        <w:rPr>
          <w:rFonts w:hint="default" w:ascii="Calibri" w:hAnsi="Calibri" w:cs="Calibri"/>
          <w:b w:val="0"/>
          <w:bCs/>
          <w:sz w:val="22"/>
          <w:szCs w:val="22"/>
          <w:lang w:val="en-US"/>
        </w:rPr>
        <w:t xml:space="preserve">, </w:t>
      </w:r>
      <w:r>
        <w:rPr>
          <w:rFonts w:hint="default" w:ascii="Calibri" w:hAnsi="Calibri" w:cs="Calibri"/>
          <w:b w:val="0"/>
          <w:bCs/>
          <w:i/>
          <w:sz w:val="22"/>
          <w:szCs w:val="22"/>
          <w:lang w:val="en-US"/>
        </w:rPr>
        <w:t>37</w:t>
      </w:r>
      <w:r>
        <w:rPr>
          <w:rFonts w:hint="default" w:ascii="Calibri" w:hAnsi="Calibri" w:cs="Calibri"/>
          <w:b w:val="0"/>
          <w:bCs/>
          <w:sz w:val="22"/>
          <w:szCs w:val="22"/>
          <w:lang w:val="en-US"/>
        </w:rPr>
        <w:t xml:space="preserve">(2), . </w:t>
      </w:r>
      <w:r>
        <w:rPr>
          <w:rFonts w:hint="default" w:ascii="Calibri" w:hAnsi="Calibri" w:cs="Calibri"/>
          <w:b w:val="0"/>
          <w:bCs/>
          <w:sz w:val="22"/>
          <w:szCs w:val="22"/>
          <w:lang w:val="es"/>
        </w:rPr>
        <w:t xml:space="preserve">Epub 01 de junio de 2021. Recuperado en 28 de noviembre de 2024, de </w:t>
      </w:r>
      <w:r>
        <w:rPr>
          <w:rFonts w:hint="default" w:ascii="Calibri" w:hAnsi="Calibri" w:cs="Calibri"/>
          <w:sz w:val="22"/>
          <w:szCs w:val="22"/>
        </w:rPr>
        <w:fldChar w:fldCharType="begin"/>
      </w:r>
      <w:r>
        <w:rPr>
          <w:rFonts w:hint="default" w:ascii="Calibri" w:hAnsi="Calibri" w:cs="Calibri"/>
          <w:sz w:val="22"/>
          <w:szCs w:val="22"/>
        </w:rPr>
        <w:instrText xml:space="preserve"> HYPERLINK "http://scielo.sld.cu/scielo.php?script=sci_arttext&amp;pid=S0864-03192021000200006&amp;lng=es&amp;tlng=en"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http://scielo.sld.cu/scielo.php?script=sci_arttext&amp;pid=S0864-03192021000200006&amp;lng=es&amp;tlng=en</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5232224A">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n-US"/>
        </w:rPr>
        <w:t xml:space="preserve">Llerena, A., Tran, K., Choudhary, D., Hausmann, J., Goldgof, D., Sun, Y., &amp; Prescott, S. M. (2023). Neonatal pain assessment: Do we have the right tools? </w:t>
      </w:r>
      <w:r>
        <w:rPr>
          <w:rFonts w:hint="default" w:ascii="Calibri" w:hAnsi="Calibri" w:cs="Calibri"/>
          <w:b w:val="0"/>
          <w:bCs/>
          <w:i/>
          <w:sz w:val="22"/>
          <w:szCs w:val="22"/>
          <w:lang w:val="en-US"/>
        </w:rPr>
        <w:t>Frontiers In Pediatrics</w:t>
      </w:r>
      <w:r>
        <w:rPr>
          <w:rFonts w:hint="default" w:ascii="Calibri" w:hAnsi="Calibri" w:cs="Calibri"/>
          <w:b w:val="0"/>
          <w:bCs/>
          <w:sz w:val="22"/>
          <w:szCs w:val="22"/>
          <w:lang w:val="en-US"/>
        </w:rPr>
        <w:t xml:space="preserve">, </w:t>
      </w:r>
      <w:r>
        <w:rPr>
          <w:rFonts w:hint="default" w:ascii="Calibri" w:hAnsi="Calibri" w:cs="Calibri"/>
          <w:b w:val="0"/>
          <w:bCs/>
          <w:i/>
          <w:sz w:val="22"/>
          <w:szCs w:val="22"/>
          <w:lang w:val="en-US"/>
        </w:rPr>
        <w:t>10</w:t>
      </w:r>
      <w:r>
        <w:rPr>
          <w:rFonts w:hint="default" w:ascii="Calibri" w:hAnsi="Calibri" w:cs="Calibri"/>
          <w:b w:val="0"/>
          <w:bCs/>
          <w:sz w:val="22"/>
          <w:szCs w:val="22"/>
          <w:lang w:val="en-US"/>
        </w:rPr>
        <w:t xml:space="preserve">.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"https://doi.org/10.3389/fped.2022.1022751"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https://doi.org/10.3389/fped.2022.1022751</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685A5F66">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n-US"/>
        </w:rPr>
        <w:t xml:space="preserve">Luo, F., Zhu, H., Mei, L., Shu, Q., Cheng, X., Chen, X., Zhao, Y., Chen, S., &amp; Pan, Y. (2023). Evaluation of procedural pain for neonates in a neonatal intensive care unit: a single-centre study. </w:t>
      </w:r>
      <w:r>
        <w:rPr>
          <w:rFonts w:hint="default" w:ascii="Calibri" w:hAnsi="Calibri" w:cs="Calibri"/>
          <w:b w:val="0"/>
          <w:bCs/>
          <w:i/>
          <w:sz w:val="22"/>
          <w:szCs w:val="22"/>
          <w:lang w:val="es"/>
        </w:rPr>
        <w:t>BMJ Paediatrics Open</w:t>
      </w:r>
      <w:r>
        <w:rPr>
          <w:rFonts w:hint="default" w:ascii="Calibri" w:hAnsi="Calibri" w:cs="Calibri"/>
          <w:b w:val="0"/>
          <w:bCs/>
          <w:sz w:val="22"/>
          <w:szCs w:val="22"/>
          <w:lang w:val="es"/>
        </w:rPr>
        <w:t xml:space="preserve">, </w:t>
      </w:r>
      <w:r>
        <w:rPr>
          <w:rFonts w:hint="default" w:ascii="Calibri" w:hAnsi="Calibri" w:cs="Calibri"/>
          <w:b w:val="0"/>
          <w:bCs/>
          <w:i/>
          <w:sz w:val="22"/>
          <w:szCs w:val="22"/>
          <w:lang w:val="es"/>
        </w:rPr>
        <w:t>7</w:t>
      </w:r>
      <w:r>
        <w:rPr>
          <w:rFonts w:hint="default" w:ascii="Calibri" w:hAnsi="Calibri" w:cs="Calibri"/>
          <w:b w:val="0"/>
          <w:bCs/>
          <w:sz w:val="22"/>
          <w:szCs w:val="22"/>
          <w:lang w:val="es"/>
        </w:rPr>
        <w:t xml:space="preserve">(1), e002107.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"https://doi.org/10.1136/bmjpo-2023-002107"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https://doi.org/10.1136/bmjpo-2023-002107</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6E0AC92F">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n-US"/>
        </w:rPr>
      </w:pPr>
      <w:r>
        <w:rPr>
          <w:rFonts w:hint="default" w:ascii="Calibri" w:hAnsi="Calibri" w:cs="Calibri"/>
          <w:b w:val="0"/>
          <w:bCs/>
          <w:sz w:val="22"/>
          <w:szCs w:val="22"/>
          <w:lang w:val="es"/>
        </w:rPr>
        <w:t xml:space="preserve">Maitanmi, B. T., Maitanmi, J. O., Ajao, E. O., Olubiyi, S. K., &amp; Leslie, T. A. (2020). </w:t>
      </w:r>
      <w:r>
        <w:rPr>
          <w:rFonts w:hint="default" w:ascii="Calibri" w:hAnsi="Calibri" w:cs="Calibri"/>
          <w:b w:val="0"/>
          <w:bCs/>
          <w:sz w:val="22"/>
          <w:szCs w:val="22"/>
          <w:lang w:val="en-US"/>
        </w:rPr>
        <w:t xml:space="preserve">Effects of supportive nursing intervention on the psychological well-being of mothers of neonates admitted to tertiary hospitals in Ogun State. </w:t>
      </w:r>
      <w:r>
        <w:rPr>
          <w:rFonts w:hint="default" w:ascii="Calibri" w:hAnsi="Calibri" w:cs="Calibri"/>
          <w:b w:val="0"/>
          <w:bCs/>
          <w:i/>
          <w:sz w:val="22"/>
          <w:szCs w:val="22"/>
          <w:lang w:val="en-US"/>
        </w:rPr>
        <w:t>International Journal of Caring Sciences, 13</w:t>
      </w:r>
      <w:r>
        <w:rPr>
          <w:rFonts w:hint="default" w:ascii="Calibri" w:hAnsi="Calibri" w:cs="Calibri"/>
          <w:b w:val="0"/>
          <w:bCs/>
          <w:sz w:val="22"/>
          <w:szCs w:val="22"/>
          <w:lang w:val="en-US"/>
        </w:rPr>
        <w:t xml:space="preserve">(2), 959-968. </w:t>
      </w:r>
      <w:r>
        <w:rPr>
          <w:rFonts w:hint="default" w:ascii="Calibri" w:hAnsi="Calibri" w:cs="Calibri"/>
          <w:sz w:val="22"/>
          <w:szCs w:val="22"/>
        </w:rPr>
        <w:fldChar w:fldCharType="begin"/>
      </w:r>
      <w:r>
        <w:rPr>
          <w:rFonts w:hint="default" w:ascii="Calibri" w:hAnsi="Calibri" w:cs="Calibri"/>
          <w:sz w:val="22"/>
          <w:szCs w:val="22"/>
        </w:rPr>
        <w:instrText xml:space="preserve"> HYPERLINK "https://www.internationaljournalofcaringsciences.org/docs/20_1_maitanmi_original_13_2.pdf" \h </w:instrText>
      </w:r>
      <w:r>
        <w:rPr>
          <w:rFonts w:hint="default" w:ascii="Calibri" w:hAnsi="Calibri" w:cs="Calibri"/>
          <w:sz w:val="22"/>
          <w:szCs w:val="22"/>
        </w:rPr>
        <w:fldChar w:fldCharType="separate"/>
      </w:r>
      <w:r>
        <w:rPr>
          <w:rStyle w:val="18"/>
          <w:rFonts w:hint="default" w:ascii="Calibri" w:hAnsi="Calibri" w:cs="Calibri"/>
          <w:b w:val="0"/>
          <w:bCs/>
          <w:sz w:val="22"/>
          <w:szCs w:val="22"/>
          <w:lang w:val="en-US"/>
        </w:rPr>
        <w:t>https://www.internationaljournalofcaringsciences.org/docs/20_1_maitanmi_original_13_2.pdf</w:t>
      </w:r>
      <w:r>
        <w:rPr>
          <w:rStyle w:val="18"/>
          <w:rFonts w:hint="default" w:ascii="Calibri" w:hAnsi="Calibri" w:cs="Calibri"/>
          <w:b w:val="0"/>
          <w:bCs/>
          <w:sz w:val="22"/>
          <w:szCs w:val="22"/>
          <w:lang w:val="en-US"/>
        </w:rPr>
        <w:fldChar w:fldCharType="end"/>
      </w:r>
      <w:r>
        <w:rPr>
          <w:rFonts w:hint="default" w:ascii="Calibri" w:hAnsi="Calibri" w:cs="Calibri"/>
          <w:b w:val="0"/>
          <w:bCs/>
          <w:sz w:val="22"/>
          <w:szCs w:val="22"/>
          <w:lang w:val="en-US"/>
        </w:rPr>
        <w:t xml:space="preserve"> </w:t>
      </w:r>
    </w:p>
    <w:p w14:paraId="2ED4F6F4">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s"/>
        </w:rPr>
        <w:t xml:space="preserve">Mekonen, W. M., Muhye, A. B., &amp; Gobeza, M. B. (2024). </w:t>
      </w:r>
      <w:r>
        <w:rPr>
          <w:rFonts w:hint="default" w:ascii="Calibri" w:hAnsi="Calibri" w:cs="Calibri"/>
          <w:b w:val="0"/>
          <w:bCs/>
          <w:sz w:val="22"/>
          <w:szCs w:val="22"/>
          <w:lang w:val="en-US"/>
        </w:rPr>
        <w:t xml:space="preserve">Nurses′ knowledge and practice about neonatal pain management in public hospitals in West Oromia, Ethiopia, 2022: multi-centered cross-sectional study. </w:t>
      </w:r>
      <w:r>
        <w:rPr>
          <w:rFonts w:hint="default" w:ascii="Calibri" w:hAnsi="Calibri" w:cs="Calibri"/>
          <w:b w:val="0"/>
          <w:bCs/>
          <w:i/>
          <w:sz w:val="22"/>
          <w:szCs w:val="22"/>
          <w:lang w:val="es"/>
        </w:rPr>
        <w:t>BMC Nursing</w:t>
      </w:r>
      <w:r>
        <w:rPr>
          <w:rFonts w:hint="default" w:ascii="Calibri" w:hAnsi="Calibri" w:cs="Calibri"/>
          <w:b w:val="0"/>
          <w:bCs/>
          <w:sz w:val="22"/>
          <w:szCs w:val="22"/>
          <w:lang w:val="es"/>
        </w:rPr>
        <w:t xml:space="preserve">, </w:t>
      </w:r>
      <w:r>
        <w:rPr>
          <w:rFonts w:hint="default" w:ascii="Calibri" w:hAnsi="Calibri" w:cs="Calibri"/>
          <w:b w:val="0"/>
          <w:bCs/>
          <w:i/>
          <w:sz w:val="22"/>
          <w:szCs w:val="22"/>
          <w:lang w:val="es"/>
        </w:rPr>
        <w:t>23</w:t>
      </w:r>
      <w:r>
        <w:rPr>
          <w:rFonts w:hint="default" w:ascii="Calibri" w:hAnsi="Calibri" w:cs="Calibri"/>
          <w:b w:val="0"/>
          <w:bCs/>
          <w:sz w:val="22"/>
          <w:szCs w:val="22"/>
          <w:lang w:val="es"/>
        </w:rPr>
        <w:t xml:space="preserve">(1).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"https://doi.org/10.1186/s12912-024-01972-3"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https://doi.org/10.1186/s12912-024-01972-3</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3B12B141">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n-US"/>
        </w:rPr>
        <w:t xml:space="preserve">Misic, M. C., Andersen, R. D., Strand, S., Eriksson, M., &amp; Olsson, E. (2021). Nurses’ perception, knowledge, and use of neonatal pain assessment. </w:t>
      </w:r>
      <w:r>
        <w:rPr>
          <w:rFonts w:hint="default" w:ascii="Calibri" w:hAnsi="Calibri" w:cs="Calibri"/>
          <w:b w:val="0"/>
          <w:bCs/>
          <w:i/>
          <w:sz w:val="22"/>
          <w:szCs w:val="22"/>
          <w:lang w:val="en-US"/>
        </w:rPr>
        <w:t>Paediatric And Neonatal Pain</w:t>
      </w:r>
      <w:r>
        <w:rPr>
          <w:rFonts w:hint="default" w:ascii="Calibri" w:hAnsi="Calibri" w:cs="Calibri"/>
          <w:b w:val="0"/>
          <w:bCs/>
          <w:sz w:val="22"/>
          <w:szCs w:val="22"/>
          <w:lang w:val="en-US"/>
        </w:rPr>
        <w:t xml:space="preserve">, </w:t>
      </w:r>
      <w:r>
        <w:rPr>
          <w:rFonts w:hint="default" w:ascii="Calibri" w:hAnsi="Calibri" w:cs="Calibri"/>
          <w:b w:val="0"/>
          <w:bCs/>
          <w:i/>
          <w:sz w:val="22"/>
          <w:szCs w:val="22"/>
          <w:lang w:val="en-US"/>
        </w:rPr>
        <w:t>3</w:t>
      </w:r>
      <w:r>
        <w:rPr>
          <w:rFonts w:hint="default" w:ascii="Calibri" w:hAnsi="Calibri" w:cs="Calibri"/>
          <w:b w:val="0"/>
          <w:bCs/>
          <w:sz w:val="22"/>
          <w:szCs w:val="22"/>
          <w:lang w:val="en-US"/>
        </w:rPr>
        <w:t xml:space="preserve">(2), 59-65.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"https://doi.org/10.1002/pne2.12050"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https://doi.org/10.1002/pne2.12050</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5726D072">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s"/>
        </w:rPr>
        <w:t xml:space="preserve">Notejane, M., Bernadá, M., Ruiz, V., &amp; Klisich, V. (2019). Conocimientos del personal de enfermería de un hospital pediátrico de referencia respecto a la evaluación y abordaje del dolor en niños. </w:t>
      </w:r>
      <w:r>
        <w:rPr>
          <w:rFonts w:hint="default" w:ascii="Calibri" w:hAnsi="Calibri" w:cs="Calibri"/>
          <w:b w:val="0"/>
          <w:bCs/>
          <w:i/>
          <w:sz w:val="22"/>
          <w:szCs w:val="22"/>
          <w:lang w:val="es"/>
        </w:rPr>
        <w:t>Boletín Médico del Hospital Infantil de México</w:t>
      </w:r>
      <w:r>
        <w:rPr>
          <w:rFonts w:hint="default" w:ascii="Calibri" w:hAnsi="Calibri" w:cs="Calibri"/>
          <w:b w:val="0"/>
          <w:bCs/>
          <w:sz w:val="22"/>
          <w:szCs w:val="22"/>
          <w:lang w:val="es"/>
        </w:rPr>
        <w:t xml:space="preserve">, </w:t>
      </w:r>
      <w:r>
        <w:rPr>
          <w:rFonts w:hint="default" w:ascii="Calibri" w:hAnsi="Calibri" w:cs="Calibri"/>
          <w:b w:val="0"/>
          <w:bCs/>
          <w:i/>
          <w:sz w:val="22"/>
          <w:szCs w:val="22"/>
          <w:lang w:val="es"/>
        </w:rPr>
        <w:t>76</w:t>
      </w:r>
      <w:r>
        <w:rPr>
          <w:rFonts w:hint="default" w:ascii="Calibri" w:hAnsi="Calibri" w:cs="Calibri"/>
          <w:b w:val="0"/>
          <w:bCs/>
          <w:sz w:val="22"/>
          <w:szCs w:val="22"/>
          <w:lang w:val="es"/>
        </w:rPr>
        <w:t xml:space="preserve">(1).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"https://doi.org/10.24875/bmhim.18000076"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https://doi.org/10.24875/bmhim.18000076</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07178A59">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s"/>
        </w:rPr>
        <w:t xml:space="preserve">Orellana, G. F., Ibáñez, A. B., Albuixech, R. C., De Lamo Camino, M., Betegón, A. A., &amp; Ortiz, E. S. (2019). </w:t>
      </w:r>
      <w:r>
        <w:rPr>
          <w:rFonts w:hint="default" w:ascii="Calibri" w:hAnsi="Calibri" w:cs="Calibri"/>
          <w:b w:val="0"/>
          <w:bCs/>
          <w:i/>
          <w:sz w:val="22"/>
          <w:szCs w:val="22"/>
          <w:lang w:val="es"/>
        </w:rPr>
        <w:t>Efectividad de la sacarosa oral evaluada mediante la Escala NIPS de valoración del dolor y el cortisol salival neonatal: Evaluation of oral sucrose effectiveness by salival cortisol determination and  the NIPS scale for pain assessment in newborns</w:t>
      </w:r>
      <w:r>
        <w:rPr>
          <w:rFonts w:hint="default" w:ascii="Calibri" w:hAnsi="Calibri" w:cs="Calibri"/>
          <w:b w:val="0"/>
          <w:bCs/>
          <w:sz w:val="22"/>
          <w:szCs w:val="22"/>
          <w:lang w:val="es"/>
        </w:rPr>
        <w:t xml:space="preserve">. </w:t>
      </w:r>
      <w:r>
        <w:rPr>
          <w:rFonts w:hint="default" w:ascii="Calibri" w:hAnsi="Calibri" w:cs="Calibri"/>
          <w:sz w:val="22"/>
          <w:szCs w:val="22"/>
        </w:rPr>
        <w:fldChar w:fldCharType="begin"/>
      </w:r>
      <w:r>
        <w:rPr>
          <w:rFonts w:hint="default" w:ascii="Calibri" w:hAnsi="Calibri" w:cs="Calibri"/>
          <w:sz w:val="22"/>
          <w:szCs w:val="22"/>
        </w:rPr>
        <w:instrText xml:space="preserve"> HYPERLINK "https://www.nureinvestigacion.es/OJS/index.php/nure/article/view/1514"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https://www.nureinvestigacion.es/OJS/index.php/nure/article/view/1514</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2D231F25">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s"/>
        </w:rPr>
        <w:t xml:space="preserve">Popowicz, H., Mędrzycka-Dąbrowska, W., Kwiecień-Jaguś, K., &amp; Kamedulska, A. (2021). </w:t>
      </w:r>
      <w:r>
        <w:rPr>
          <w:rFonts w:hint="default" w:ascii="Calibri" w:hAnsi="Calibri" w:cs="Calibri"/>
          <w:b w:val="0"/>
          <w:bCs/>
          <w:sz w:val="22"/>
          <w:szCs w:val="22"/>
          <w:lang w:val="en-US"/>
        </w:rPr>
        <w:t xml:space="preserve">Knowledge and Practices in Neonatal Pain Management of Nurses Employed in Hospitals with Different Levels of Referral—Multicenter Study. </w:t>
      </w:r>
      <w:r>
        <w:rPr>
          <w:rFonts w:hint="default" w:ascii="Calibri" w:hAnsi="Calibri" w:cs="Calibri"/>
          <w:b w:val="0"/>
          <w:bCs/>
          <w:i/>
          <w:sz w:val="22"/>
          <w:szCs w:val="22"/>
          <w:lang w:val="es"/>
        </w:rPr>
        <w:t>Healthcare</w:t>
      </w:r>
      <w:r>
        <w:rPr>
          <w:rFonts w:hint="default" w:ascii="Calibri" w:hAnsi="Calibri" w:cs="Calibri"/>
          <w:b w:val="0"/>
          <w:bCs/>
          <w:sz w:val="22"/>
          <w:szCs w:val="22"/>
          <w:lang w:val="es"/>
        </w:rPr>
        <w:t xml:space="preserve">, </w:t>
      </w:r>
      <w:r>
        <w:rPr>
          <w:rFonts w:hint="default" w:ascii="Calibri" w:hAnsi="Calibri" w:cs="Calibri"/>
          <w:b w:val="0"/>
          <w:bCs/>
          <w:i/>
          <w:sz w:val="22"/>
          <w:szCs w:val="22"/>
          <w:lang w:val="es"/>
        </w:rPr>
        <w:t>9</w:t>
      </w:r>
      <w:r>
        <w:rPr>
          <w:rFonts w:hint="default" w:ascii="Calibri" w:hAnsi="Calibri" w:cs="Calibri"/>
          <w:b w:val="0"/>
          <w:bCs/>
          <w:sz w:val="22"/>
          <w:szCs w:val="22"/>
          <w:lang w:val="es"/>
        </w:rPr>
        <w:t xml:space="preserve">(1), 48.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"https://doi.org/10.3390/healthcare9010048"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https://doi.org/10.3390/healthcare9010048</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376EABBA">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s"/>
        </w:rPr>
        <w:t xml:space="preserve">Puma-Quito, R. S., Mesa-Cano, I. C., Ramírez-Coronel, A. A., &amp; Pacurucu-Avila, N. J. (2021). </w:t>
      </w:r>
      <w:r>
        <w:rPr>
          <w:rFonts w:hint="default" w:ascii="Calibri" w:hAnsi="Calibri" w:cs="Calibri"/>
          <w:b w:val="0"/>
          <w:bCs/>
          <w:i/>
          <w:iCs/>
          <w:sz w:val="22"/>
          <w:szCs w:val="22"/>
          <w:lang w:val="es"/>
        </w:rPr>
        <w:t>Efectividad de intervenciones de enfermería basada en protocolos de administración segura de medicamentos por vía venosa: revisión sistemática</w:t>
      </w:r>
      <w:r>
        <w:rPr>
          <w:rFonts w:hint="default" w:ascii="Calibri" w:hAnsi="Calibri" w:cs="Calibri"/>
          <w:b w:val="0"/>
          <w:bCs/>
          <w:sz w:val="22"/>
          <w:szCs w:val="22"/>
          <w:lang w:val="es"/>
        </w:rPr>
        <w:t xml:space="preserve">. </w:t>
      </w:r>
      <w:r>
        <w:rPr>
          <w:rFonts w:hint="default" w:ascii="Calibri" w:hAnsi="Calibri" w:cs="Calibri"/>
          <w:sz w:val="22"/>
          <w:szCs w:val="22"/>
        </w:rPr>
        <w:fldChar w:fldCharType="begin"/>
      </w:r>
      <w:r>
        <w:rPr>
          <w:rFonts w:hint="default" w:ascii="Calibri" w:hAnsi="Calibri" w:cs="Calibri"/>
          <w:sz w:val="22"/>
          <w:szCs w:val="22"/>
        </w:rPr>
        <w:instrText xml:space="preserve"> HYPERLINK "https://www.redalyc.org/journal/559/55969712009/html/"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https://www.redalyc.org/journal/559/55969712009/html/</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2BBEDDE1">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n-US"/>
        </w:rPr>
        <w:t xml:space="preserve">Riddell, R. R. P., Bucsea, O., Shiff, I., Chow, C., Gennis, H. G., Badovinac, S., DiLorenzo-Klas, M., Racine, N. M., Kohut, S. A., Lisi, D., Turcotte, K., Stevens, B., &amp; Uman, L. S. (2023). Non-pharmacological management of infant and young child procedural pain. </w:t>
      </w:r>
      <w:r>
        <w:rPr>
          <w:rFonts w:hint="default" w:ascii="Calibri" w:hAnsi="Calibri" w:cs="Calibri"/>
          <w:b w:val="0"/>
          <w:bCs/>
          <w:i/>
          <w:sz w:val="22"/>
          <w:szCs w:val="22"/>
          <w:lang w:val="es"/>
        </w:rPr>
        <w:t>Cochrane Library</w:t>
      </w:r>
      <w:r>
        <w:rPr>
          <w:rFonts w:hint="default" w:ascii="Calibri" w:hAnsi="Calibri" w:cs="Calibri"/>
          <w:b w:val="0"/>
          <w:bCs/>
          <w:sz w:val="22"/>
          <w:szCs w:val="22"/>
          <w:lang w:val="es"/>
        </w:rPr>
        <w:t xml:space="preserve">, </w:t>
      </w:r>
      <w:r>
        <w:rPr>
          <w:rFonts w:hint="default" w:ascii="Calibri" w:hAnsi="Calibri" w:cs="Calibri"/>
          <w:b w:val="0"/>
          <w:bCs/>
          <w:i/>
          <w:sz w:val="22"/>
          <w:szCs w:val="22"/>
          <w:lang w:val="es"/>
        </w:rPr>
        <w:t>2023</w:t>
      </w:r>
      <w:r>
        <w:rPr>
          <w:rFonts w:hint="default" w:ascii="Calibri" w:hAnsi="Calibri" w:cs="Calibri"/>
          <w:b w:val="0"/>
          <w:bCs/>
          <w:sz w:val="22"/>
          <w:szCs w:val="22"/>
          <w:lang w:val="es"/>
        </w:rPr>
        <w:t xml:space="preserve">(6).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"https://doi.org/10.1002/14651858.cd006275.pub4"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https://doi.org/10.1002/14651858.cd006275.pub4</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5452DC60">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s"/>
        </w:rPr>
        <w:t xml:space="preserve">Rodriguez, P. V., Sanchez, M. S. R., Cabezas, D. M., Valencia, S. M., Canelón, K. E. C., &amp; Orbes, A. C. R. (2022). Tendencias actualizadas de escalas de medida de dolor neonatal en Colombia. </w:t>
      </w:r>
      <w:r>
        <w:rPr>
          <w:rFonts w:hint="default" w:ascii="Calibri" w:hAnsi="Calibri" w:cs="Calibri"/>
          <w:b w:val="0"/>
          <w:bCs/>
          <w:i/>
          <w:sz w:val="22"/>
          <w:szCs w:val="22"/>
          <w:lang w:val="es"/>
        </w:rPr>
        <w:t>Scientific and Educational Medical Journal</w:t>
      </w:r>
      <w:r>
        <w:rPr>
          <w:rFonts w:hint="default" w:ascii="Calibri" w:hAnsi="Calibri" w:cs="Calibri"/>
          <w:b w:val="0"/>
          <w:bCs/>
          <w:sz w:val="22"/>
          <w:szCs w:val="22"/>
          <w:lang w:val="es"/>
        </w:rPr>
        <w:t xml:space="preserve">, </w:t>
      </w:r>
      <w:r>
        <w:rPr>
          <w:rFonts w:hint="default" w:ascii="Calibri" w:hAnsi="Calibri" w:cs="Calibri"/>
          <w:b w:val="0"/>
          <w:bCs/>
          <w:i/>
          <w:sz w:val="22"/>
          <w:szCs w:val="22"/>
          <w:lang w:val="es"/>
        </w:rPr>
        <w:t>6</w:t>
      </w:r>
      <w:r>
        <w:rPr>
          <w:rFonts w:hint="default" w:ascii="Calibri" w:hAnsi="Calibri" w:cs="Calibri"/>
          <w:b w:val="0"/>
          <w:bCs/>
          <w:sz w:val="22"/>
          <w:szCs w:val="22"/>
          <w:lang w:val="es"/>
        </w:rPr>
        <w:t xml:space="preserve">(1), 71-85. </w:t>
      </w:r>
    </w:p>
    <w:p w14:paraId="09DD2E56">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n-US"/>
        </w:rPr>
        <w:t xml:space="preserve">Séassau, A., Munos, P., Gire, C., Tosello, B., &amp; Carchon, I. (2023). Neonatal Care Unit Interventions on Preterm Development. </w:t>
      </w:r>
      <w:r>
        <w:rPr>
          <w:rFonts w:hint="default" w:ascii="Calibri" w:hAnsi="Calibri" w:cs="Calibri"/>
          <w:b w:val="0"/>
          <w:bCs/>
          <w:i/>
          <w:sz w:val="22"/>
          <w:szCs w:val="22"/>
          <w:lang w:val="es"/>
        </w:rPr>
        <w:t>Children</w:t>
      </w:r>
      <w:r>
        <w:rPr>
          <w:rFonts w:hint="default" w:ascii="Calibri" w:hAnsi="Calibri" w:cs="Calibri"/>
          <w:b w:val="0"/>
          <w:bCs/>
          <w:sz w:val="22"/>
          <w:szCs w:val="22"/>
          <w:lang w:val="es"/>
        </w:rPr>
        <w:t xml:space="preserve">, </w:t>
      </w:r>
      <w:r>
        <w:rPr>
          <w:rFonts w:hint="default" w:ascii="Calibri" w:hAnsi="Calibri" w:cs="Calibri"/>
          <w:b w:val="0"/>
          <w:bCs/>
          <w:i/>
          <w:sz w:val="22"/>
          <w:szCs w:val="22"/>
          <w:lang w:val="es"/>
        </w:rPr>
        <w:t>10</w:t>
      </w:r>
      <w:r>
        <w:rPr>
          <w:rFonts w:hint="default" w:ascii="Calibri" w:hAnsi="Calibri" w:cs="Calibri"/>
          <w:b w:val="0"/>
          <w:bCs/>
          <w:sz w:val="22"/>
          <w:szCs w:val="22"/>
          <w:lang w:val="es"/>
        </w:rPr>
        <w:t xml:space="preserve">(6), 999.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"https://doi.org/10.3390/children10060999"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https://doi.org/10.3390/children10060999</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05475C75">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r>
        <w:rPr>
          <w:rFonts w:hint="default" w:ascii="Calibri" w:hAnsi="Calibri" w:cs="Calibri"/>
          <w:b w:val="0"/>
          <w:bCs/>
          <w:sz w:val="22"/>
          <w:szCs w:val="22"/>
          <w:lang w:val="es"/>
        </w:rPr>
        <w:t>Torres Lara, A. V., Bastidas Barahona, A. D. L. A., Jimenez Franco, S. P., &amp; Vinces Menéndez, C. V. (2022). Intervenciones no farmacológicas como coadyuvantes para prevenir o tratar el dolor neonatal. RECIMUNDO, 6(2), 501-507.</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"https://doi.org/10.26820/recimundo/6.(2).abr.2022.501-507"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https://doi.org/10.26820/recimundo/6.(2).abr.2022.501-507</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1DB2A55C">
      <w:pPr>
        <w:pStyle w:val="3"/>
        <w:keepNext w:val="0"/>
        <w:keepLines w:val="0"/>
        <w:pageBreakBefore w:val="0"/>
        <w:widowControl/>
        <w:numPr>
          <w:ilvl w:val="-173"/>
          <w:numId w:val="0"/>
        </w:numPr>
        <w:kinsoku/>
        <w:wordWrap/>
        <w:overflowPunct/>
        <w:topLinePunct w:val="0"/>
        <w:autoSpaceDE/>
        <w:autoSpaceDN/>
        <w:bidi w:val="0"/>
        <w:adjustRightInd/>
        <w:snapToGrid/>
        <w:spacing w:before="181" w:beforeLines="50" w:after="0" w:line="240" w:lineRule="auto"/>
        <w:ind w:left="720" w:leftChars="0" w:hanging="720"/>
        <w:jc w:val="both"/>
        <w:textAlignment w:val="auto"/>
        <w:rPr>
          <w:rFonts w:hint="default" w:ascii="Calibri" w:hAnsi="Calibri" w:cs="Calibri"/>
          <w:b w:val="0"/>
          <w:bCs/>
          <w:sz w:val="22"/>
          <w:szCs w:val="22"/>
          <w:lang w:val="es"/>
        </w:rPr>
      </w:pPr>
      <w:bookmarkStart w:id="1" w:name="_heading=h.10wnzu8q0r0m" w:colFirst="0" w:colLast="0"/>
      <w:bookmarkEnd w:id="1"/>
      <w:r>
        <w:rPr>
          <w:rFonts w:hint="default" w:ascii="Calibri" w:hAnsi="Calibri" w:cs="Calibri"/>
          <w:b w:val="0"/>
          <w:bCs/>
          <w:sz w:val="22"/>
          <w:szCs w:val="22"/>
          <w:lang w:val="en-US"/>
        </w:rPr>
        <w:t xml:space="preserve">Weng, Y., Zhang, J., &amp; Chen, Z. (2024). Effect of non-pharmacological interventions on pain in preterm infants in the neonatal intensive care unit: a network meta-analysis of randomized controlled trials. </w:t>
      </w:r>
      <w:r>
        <w:rPr>
          <w:rFonts w:hint="default" w:ascii="Calibri" w:hAnsi="Calibri" w:cs="Calibri"/>
          <w:b w:val="0"/>
          <w:bCs/>
          <w:i/>
          <w:sz w:val="22"/>
          <w:szCs w:val="22"/>
          <w:lang w:val="es"/>
        </w:rPr>
        <w:t>BMC Pediatrics</w:t>
      </w:r>
      <w:r>
        <w:rPr>
          <w:rFonts w:hint="default" w:ascii="Calibri" w:hAnsi="Calibri" w:cs="Calibri"/>
          <w:b w:val="0"/>
          <w:bCs/>
          <w:sz w:val="22"/>
          <w:szCs w:val="22"/>
          <w:lang w:val="es"/>
        </w:rPr>
        <w:t xml:space="preserve">, </w:t>
      </w:r>
      <w:r>
        <w:rPr>
          <w:rFonts w:hint="default" w:ascii="Calibri" w:hAnsi="Calibri" w:cs="Calibri"/>
          <w:b w:val="0"/>
          <w:bCs/>
          <w:i/>
          <w:sz w:val="22"/>
          <w:szCs w:val="22"/>
          <w:lang w:val="es"/>
        </w:rPr>
        <w:t>24</w:t>
      </w:r>
      <w:r>
        <w:rPr>
          <w:rFonts w:hint="default" w:ascii="Calibri" w:hAnsi="Calibri" w:cs="Calibri"/>
          <w:b w:val="0"/>
          <w:bCs/>
          <w:sz w:val="22"/>
          <w:szCs w:val="22"/>
          <w:lang w:val="es"/>
        </w:rPr>
        <w:t xml:space="preserve">(1). </w:t>
      </w:r>
      <w:r>
        <w:rPr>
          <w:rFonts w:hint="default" w:ascii="Calibri" w:hAnsi="Calibri" w:cs="Calibri"/>
          <w:sz w:val="22"/>
          <w:szCs w:val="22"/>
        </w:rPr>
        <w:fldChar w:fldCharType="begin"/>
      </w:r>
      <w:r>
        <w:rPr>
          <w:rFonts w:hint="default" w:ascii="Calibri" w:hAnsi="Calibri" w:cs="Calibri"/>
          <w:sz w:val="22"/>
          <w:szCs w:val="22"/>
        </w:rPr>
        <w:instrText xml:space="preserve"> HYPERLINK "https://doi.org/10.1186/s12887-023-04488-y" \h </w:instrText>
      </w:r>
      <w:r>
        <w:rPr>
          <w:rFonts w:hint="default" w:ascii="Calibri" w:hAnsi="Calibri" w:cs="Calibri"/>
          <w:sz w:val="22"/>
          <w:szCs w:val="22"/>
        </w:rPr>
        <w:fldChar w:fldCharType="separate"/>
      </w:r>
      <w:r>
        <w:rPr>
          <w:rStyle w:val="18"/>
          <w:rFonts w:hint="default" w:ascii="Calibri" w:hAnsi="Calibri" w:cs="Calibri"/>
          <w:b w:val="0"/>
          <w:bCs/>
          <w:sz w:val="22"/>
          <w:szCs w:val="22"/>
          <w:lang w:val="es"/>
        </w:rPr>
        <w:t>https://doi.org/10.1186/s12887-023-04488-y</w:t>
      </w:r>
      <w:r>
        <w:rPr>
          <w:rStyle w:val="18"/>
          <w:rFonts w:hint="default" w:ascii="Calibri" w:hAnsi="Calibri" w:cs="Calibri"/>
          <w:b w:val="0"/>
          <w:bCs/>
          <w:sz w:val="22"/>
          <w:szCs w:val="22"/>
          <w:lang w:val="es"/>
        </w:rPr>
        <w:fldChar w:fldCharType="end"/>
      </w:r>
      <w:r>
        <w:rPr>
          <w:rFonts w:hint="default" w:ascii="Calibri" w:hAnsi="Calibri" w:cs="Calibri"/>
          <w:b w:val="0"/>
          <w:bCs/>
          <w:sz w:val="22"/>
          <w:szCs w:val="22"/>
          <w:lang w:val="es"/>
        </w:rPr>
        <w:t xml:space="preserve"> </w:t>
      </w:r>
    </w:p>
    <w:p w14:paraId="445AF4DD">
      <w:pPr>
        <w:pStyle w:val="3"/>
        <w:rPr>
          <w:rFonts w:ascii="Times New Roman" w:hAnsi="Times New Roman" w:cs="Times New Roman"/>
          <w:sz w:val="20"/>
          <w:szCs w:val="20"/>
        </w:rPr>
      </w:pPr>
      <w:bookmarkStart w:id="2" w:name="_heading=h.ufh8o1qd5vgr" w:colFirst="0" w:colLast="0"/>
      <w:bookmarkEnd w:id="2"/>
    </w:p>
    <w:p w14:paraId="7070A39D">
      <w:pPr>
        <w:pStyle w:val="3"/>
        <w:rPr>
          <w:rFonts w:ascii="Times New Roman" w:hAnsi="Times New Roman" w:cs="Times New Roman"/>
          <w:sz w:val="20"/>
          <w:szCs w:val="20"/>
        </w:rPr>
      </w:pPr>
      <w:bookmarkStart w:id="3" w:name="_heading=h.8x9o4y9m3s81" w:colFirst="0" w:colLast="0"/>
      <w:bookmarkEnd w:id="3"/>
    </w:p>
    <w:p w14:paraId="2C41BC5E">
      <w:pPr>
        <w:pStyle w:val="3"/>
        <w:rPr>
          <w:rFonts w:ascii="Times New Roman" w:hAnsi="Times New Roman" w:cs="Times New Roman"/>
          <w:sz w:val="20"/>
          <w:szCs w:val="20"/>
        </w:rPr>
      </w:pPr>
      <w:bookmarkStart w:id="4" w:name="_heading=h.ht74xqy9e5i2" w:colFirst="0" w:colLast="0"/>
      <w:bookmarkEnd w:id="4"/>
    </w:p>
    <w:p w14:paraId="70E41F36">
      <w:pPr>
        <w:pStyle w:val="3"/>
        <w:rPr>
          <w:rFonts w:ascii="Times New Roman" w:hAnsi="Times New Roman" w:cs="Times New Roman"/>
          <w:sz w:val="20"/>
          <w:szCs w:val="20"/>
        </w:rPr>
      </w:pPr>
      <w:bookmarkStart w:id="5" w:name="_heading=h.l2dn3ntvb1z1" w:colFirst="0" w:colLast="0"/>
      <w:bookmarkEnd w:id="5"/>
    </w:p>
    <w:p w14:paraId="7A8E5C3D">
      <w:pPr>
        <w:pStyle w:val="3"/>
        <w:rPr>
          <w:rFonts w:ascii="Times New Roman" w:hAnsi="Times New Roman" w:cs="Times New Roman"/>
          <w:sz w:val="20"/>
          <w:szCs w:val="20"/>
        </w:rPr>
      </w:pPr>
      <w:bookmarkStart w:id="6" w:name="_heading=h.4jqnanvpggz3" w:colFirst="0" w:colLast="0"/>
      <w:bookmarkEnd w:id="6"/>
    </w:p>
    <w:p w14:paraId="427599A7">
      <w:pPr>
        <w:pStyle w:val="3"/>
        <w:rPr>
          <w:rFonts w:ascii="Times New Roman" w:hAnsi="Times New Roman" w:cs="Times New Roman"/>
          <w:sz w:val="20"/>
          <w:szCs w:val="20"/>
        </w:rPr>
      </w:pPr>
      <w:bookmarkStart w:id="7" w:name="_heading=h.mff11olhlfux" w:colFirst="0" w:colLast="0"/>
      <w:bookmarkEnd w:id="7"/>
    </w:p>
    <w:p w14:paraId="3494817F">
      <w:pPr>
        <w:pStyle w:val="3"/>
        <w:rPr>
          <w:rFonts w:ascii="Times New Roman" w:hAnsi="Times New Roman" w:cs="Times New Roman"/>
          <w:sz w:val="20"/>
          <w:szCs w:val="20"/>
        </w:rPr>
      </w:pPr>
      <w:bookmarkStart w:id="8" w:name="_heading=h.j6y6pm3swfy4" w:colFirst="0" w:colLast="0"/>
      <w:bookmarkEnd w:id="8"/>
    </w:p>
    <w:p w14:paraId="4038B935">
      <w:pPr>
        <w:pStyle w:val="3"/>
        <w:rPr>
          <w:rFonts w:ascii="Times New Roman" w:hAnsi="Times New Roman" w:cs="Times New Roman"/>
          <w:sz w:val="20"/>
          <w:szCs w:val="20"/>
        </w:rPr>
      </w:pPr>
      <w:bookmarkStart w:id="9" w:name="_heading=h.8x9os885hrgv" w:colFirst="0" w:colLast="0"/>
      <w:bookmarkEnd w:id="9"/>
    </w:p>
    <w:p w14:paraId="5B25F873">
      <w:pPr>
        <w:pStyle w:val="3"/>
        <w:rPr>
          <w:rFonts w:ascii="Times New Roman" w:hAnsi="Times New Roman" w:cs="Times New Roman"/>
          <w:sz w:val="20"/>
          <w:szCs w:val="20"/>
        </w:rPr>
      </w:pPr>
      <w:bookmarkStart w:id="10" w:name="_heading=h.l8faokm59dzm" w:colFirst="0" w:colLast="0"/>
      <w:bookmarkEnd w:id="10"/>
    </w:p>
    <w:p w14:paraId="5AB93795">
      <w:pPr>
        <w:pStyle w:val="3"/>
        <w:rPr>
          <w:rFonts w:ascii="Times New Roman" w:hAnsi="Times New Roman" w:cs="Times New Roman"/>
          <w:sz w:val="20"/>
          <w:szCs w:val="20"/>
        </w:rPr>
      </w:pPr>
      <w:bookmarkStart w:id="11" w:name="_heading=h.nggpd38mj8mp" w:colFirst="0" w:colLast="0"/>
      <w:bookmarkEnd w:id="11"/>
    </w:p>
    <w:p w14:paraId="0E9626E0">
      <w:pPr>
        <w:pStyle w:val="3"/>
        <w:rPr>
          <w:rFonts w:ascii="Times New Roman" w:hAnsi="Times New Roman" w:cs="Times New Roman"/>
          <w:sz w:val="20"/>
          <w:szCs w:val="20"/>
        </w:rPr>
      </w:pPr>
      <w:bookmarkStart w:id="12" w:name="_heading=h.56ag82yhih7e" w:colFirst="0" w:colLast="0"/>
      <w:bookmarkEnd w:id="12"/>
    </w:p>
    <w:p w14:paraId="315E0763">
      <w:pPr>
        <w:pStyle w:val="3"/>
        <w:rPr>
          <w:rFonts w:ascii="Times New Roman" w:hAnsi="Times New Roman" w:cs="Times New Roman"/>
          <w:sz w:val="20"/>
          <w:szCs w:val="20"/>
        </w:rPr>
      </w:pPr>
      <w:bookmarkStart w:id="13" w:name="_heading=h.9hpze8lppbqj" w:colFirst="0" w:colLast="0"/>
      <w:bookmarkEnd w:id="13"/>
    </w:p>
    <w:p w14:paraId="7F4E3AA7">
      <w:pPr>
        <w:pStyle w:val="3"/>
        <w:rPr>
          <w:rFonts w:ascii="Times New Roman" w:hAnsi="Times New Roman" w:cs="Times New Roman"/>
          <w:sz w:val="20"/>
          <w:szCs w:val="20"/>
        </w:rPr>
      </w:pPr>
      <w:bookmarkStart w:id="14" w:name="_heading=h.6auy94w1d6j4" w:colFirst="0" w:colLast="0"/>
      <w:bookmarkEnd w:id="14"/>
    </w:p>
    <w:p w14:paraId="772D02C3">
      <w:pPr>
        <w:pStyle w:val="3"/>
        <w:rPr>
          <w:rFonts w:ascii="Times New Roman" w:hAnsi="Times New Roman" w:cs="Times New Roman"/>
          <w:sz w:val="20"/>
          <w:szCs w:val="20"/>
        </w:rPr>
      </w:pPr>
      <w:bookmarkStart w:id="15" w:name="_heading=h.rliewj310iww" w:colFirst="0" w:colLast="0"/>
      <w:bookmarkEnd w:id="15"/>
    </w:p>
    <w:p w14:paraId="2444AF73">
      <w:pPr>
        <w:pStyle w:val="60"/>
        <w:keepNext w:val="0"/>
        <w:keepLines w:val="0"/>
        <w:pageBreakBefore w:val="0"/>
        <w:widowControl/>
        <w:numPr>
          <w:ilvl w:val="0"/>
          <w:numId w:val="0"/>
        </w:numPr>
        <w:kinsoku/>
        <w:wordWrap/>
        <w:overflowPunct/>
        <w:topLinePunct w:val="0"/>
        <w:autoSpaceDE/>
        <w:autoSpaceDN/>
        <w:bidi w:val="0"/>
        <w:adjustRightInd/>
        <w:snapToGrid/>
        <w:spacing w:before="181" w:beforeLines="50" w:beforeAutospacing="0" w:after="0" w:line="240" w:lineRule="auto"/>
        <w:ind w:left="720" w:leftChars="0" w:hanging="720"/>
        <w:jc w:val="both"/>
        <w:textAlignment w:val="auto"/>
        <w:rPr>
          <w:rFonts w:hint="default" w:ascii="Calibri" w:hAnsi="Calibri" w:cs="Calibri"/>
          <w:color w:val="auto"/>
          <w:sz w:val="22"/>
          <w:szCs w:val="22"/>
          <w:lang w:val="zh-CN"/>
        </w:rPr>
      </w:pPr>
    </w:p>
    <w:sectPr>
      <w:headerReference r:id="rId6" w:type="first"/>
      <w:footerReference r:id="rId8" w:type="first"/>
      <w:headerReference r:id="rId5" w:type="default"/>
      <w:footerReference r:id="rId7" w:type="default"/>
      <w:pgSz w:w="12240" w:h="15840"/>
      <w:pgMar w:top="357" w:right="1418" w:bottom="992" w:left="1418" w:header="709" w:footer="397"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var(--font-fk-grotesk)">
    <w:altName w:val="Segoe Print"/>
    <w:panose1 w:val="00000000000000000000"/>
    <w:charset w:val="00"/>
    <w:family w:val="auto"/>
    <w:pitch w:val="default"/>
    <w:sig w:usb0="00000000" w:usb1="00000000" w:usb2="00000000" w:usb3="00000000" w:csb0="00000000" w:csb1="00000000"/>
  </w:font>
  <w:font w:name="Garamond">
    <w:panose1 w:val="02020404030301010803"/>
    <w:charset w:val="00"/>
    <w:family w:val="auto"/>
    <w:pitch w:val="default"/>
    <w:sig w:usb0="00000287" w:usb1="00000000" w:usb2="00000000" w:usb3="00000000" w:csb0="0000009F" w:csb1="DFD7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E942F">
    <w:pPr>
      <w:pStyle w:val="16"/>
    </w:pPr>
    <w:r>
      <w:rPr>
        <w:lang w:val="zh-CN"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-66675</wp:posOffset>
              </wp:positionV>
              <wp:extent cx="5966460" cy="0"/>
              <wp:effectExtent l="0" t="5080" r="0" b="4445"/>
              <wp:wrapNone/>
              <wp:docPr id="24" name="Conector recto 9"/>
              <wp:cNvGraphicFramePr/>
              <a:graphic xmlns:a="http://schemas.openxmlformats.org/drawingml/2006/main">
                <a:graphicData uri="http://schemas.microsoft.com/office/word/2010/wordprocessingShape">
                  <wps:wsp>
                    <wps:cNvCnPr/>
                    <wps:spPr>
                      <a:xfrm>
                        <a:off x="0" y="0"/>
                        <a:ext cx="5966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9" o:spid="_x0000_s1026" o:spt="20" style="position:absolute;left:0pt;margin-left:0pt;margin-top:-5.25pt;height:0pt;width:469.8pt;z-index:251660288;mso-width-relative:page;mso-height-relative:page;" filled="f" stroked="t" coordsize="21600,21600" o:gfxdata="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FO7k/2AAAAAgB&#10;AAAPAAAAAAAAAAEAIAAAACIAAABkcnMvZG93bnJldi54bWxQSwECFAAUAAAACACHTuJAZu/LvuIB&#10;AADTAwAADgAAAAAAAAABACAAAAAnAQAAZHJzL2Uyb0RvYy54bWxQSwUGAAAAAAYABgBZAQAAewUA&#10;AAAA&#10;">
              <v:fill on="f" focussize="0,0"/>
              <v:stroke color="#4A7EBB [3204]" joinstyle="round"/>
              <v:imagedata o:title=""/>
              <o:lock v:ext="edit" aspectratio="f"/>
            </v:line>
          </w:pict>
        </mc:Fallback>
      </mc:AlternateContent>
    </w:r>
    <w:r>
      <w:rPr>
        <w:rFonts w:asciiTheme="majorHAnsi" w:hAnsiTheme="majorHAnsi" w:eastAsiaTheme="majorEastAsia" w:cstheme="majorBidi"/>
        <w:sz w:val="28"/>
        <w:szCs w:val="28"/>
        <w:lang w:val="zh-CN" w:eastAsia="zh-CN"/>
      </w:rPr>
      <mc:AlternateContent>
        <mc:Choice Requires="wps">
          <w:drawing>
            <wp:anchor distT="0" distB="0" distL="114300" distR="114300" simplePos="0" relativeHeight="251661312" behindDoc="0" locked="0" layoutInCell="0" allowOverlap="1">
              <wp:simplePos x="0" y="0"/>
              <wp:positionH relativeFrom="page">
                <wp:posOffset>6526530</wp:posOffset>
              </wp:positionH>
              <wp:positionV relativeFrom="bottomMargin">
                <wp:posOffset>47625</wp:posOffset>
              </wp:positionV>
              <wp:extent cx="323850" cy="323850"/>
              <wp:effectExtent l="0" t="0" r="11430" b="11430"/>
              <wp:wrapNone/>
              <wp:docPr id="25" name="Elipse 16"/>
              <wp:cNvGraphicFramePr/>
              <a:graphic xmlns:a="http://schemas.openxmlformats.org/drawingml/2006/main">
                <a:graphicData uri="http://schemas.microsoft.com/office/word/2010/wordprocessingShape">
                  <wps:wsp>
                    <wps:cNvSpPr>
                      <a:spLocks noChangeArrowheads="1"/>
                    </wps:cNvSpPr>
                    <wps:spPr bwMode="auto">
                      <a:xfrm>
                        <a:off x="0" y="0"/>
                        <a:ext cx="324000" cy="324000"/>
                      </a:xfrm>
                      <a:prstGeom prst="ellipse">
                        <a:avLst/>
                      </a:prstGeom>
                      <a:solidFill>
                        <a:srgbClr val="00CD23"/>
                      </a:solidFill>
                      <a:ln>
                        <a:noFill/>
                      </a:ln>
                    </wps:spPr>
                    <wps:txbx>
                      <w:txbxContent>
                        <w:p w14:paraId="372B426C">
                          <w:pPr>
                            <w:jc w:val="center"/>
                            <w:rPr>
                              <w:rStyle w:val="20"/>
                              <w:color w:val="FFFFFF" w:themeColor="background1"/>
                              <w:sz w:val="20"/>
                              <w:szCs w:val="24"/>
                              <w14:textFill>
                                <w14:solidFill>
                                  <w14:schemeClr w14:val="bg1"/>
                                </w14:solidFill>
                              </w14:textFill>
                            </w:rPr>
                          </w:pPr>
                          <w:r>
                            <w:rPr>
                              <w:sz w:val="20"/>
                            </w:rPr>
                            <w:fldChar w:fldCharType="begin"/>
                          </w:r>
                          <w:r>
                            <w:rPr>
                              <w:sz w:val="20"/>
                            </w:rPr>
                            <w:instrText xml:space="preserve">PAGE    \* MERGEFORMAT</w:instrText>
                          </w:r>
                          <w:r>
                            <w:rPr>
                              <w:sz w:val="20"/>
                            </w:rPr>
                            <w:fldChar w:fldCharType="separate"/>
                          </w:r>
                          <w:r>
                            <w:rPr>
                              <w:rStyle w:val="20"/>
                              <w:b/>
                              <w:bCs/>
                              <w:color w:val="FFFFFF" w:themeColor="background1"/>
                              <w:szCs w:val="24"/>
                              <w:lang w:val="es-ES"/>
                              <w14:textFill>
                                <w14:solidFill>
                                  <w14:schemeClr w14:val="bg1"/>
                                </w14:solidFill>
                              </w14:textFill>
                            </w:rPr>
                            <w:t>8</w:t>
                          </w:r>
                          <w:r>
                            <w:rPr>
                              <w:rStyle w:val="20"/>
                              <w:b/>
                              <w:bCs/>
                              <w:color w:val="FFFFFF" w:themeColor="background1"/>
                              <w:szCs w:val="24"/>
                              <w14:textFill>
                                <w14:solidFill>
                                  <w14:schemeClr w14:val="bg1"/>
                                </w14:solidFill>
                              </w14:textFill>
                            </w:rPr>
                            <w:fldChar w:fldCharType="end"/>
                          </w:r>
                        </w:p>
                      </w:txbxContent>
                    </wps:txbx>
                    <wps:bodyPr rot="0" vert="horz" wrap="square" lIns="0" tIns="45720" rIns="0" bIns="45720" anchor="t" anchorCtr="0" upright="1">
                      <a:noAutofit/>
                    </wps:bodyPr>
                  </wps:wsp>
                </a:graphicData>
              </a:graphic>
            </wp:anchor>
          </w:drawing>
        </mc:Choice>
        <mc:Fallback>
          <w:pict>
            <v:shape id="Elipse 16" o:spid="_x0000_s1026" o:spt="3" type="#_x0000_t3" style="position:absolute;left:0pt;margin-left:513.9pt;margin-top:746.15pt;height:25.5pt;width:25.5pt;mso-position-horizontal-relative:page;mso-position-vertical-relative:page;z-index:251661312;mso-width-relative:page;mso-height-relative:page;" fillcolor="#00CD23" filled="t" stroked="f" coordsize="21600,21600" o:allowincell="f" o:gfxdata="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X3tXNYAAAAKAQAADwAAAAAAAAABACAA&#10;AAAiAAAAZHJzL2Rvd25yZXYueG1sUEsBAhQAFAAAAAgAh07iQOXR48EPAgAALQQAAA4AAAAAAAAA&#10;AQAgAAAAJQEAAGRycy9lMm9Eb2MueG1sUEsFBgAAAAAGAAYAWQEAAKYFAAAAAA==&#10;">
              <v:fill on="t" focussize="0,0"/>
              <v:stroke on="f"/>
              <v:imagedata o:title=""/>
              <o:lock v:ext="edit" aspectratio="f"/>
              <v:textbox inset="0mm,1.27mm,0mm,1.27mm">
                <w:txbxContent>
                  <w:p w14:paraId="372B426C">
                    <w:pPr>
                      <w:jc w:val="center"/>
                      <w:rPr>
                        <w:rStyle w:val="20"/>
                        <w:color w:val="FFFFFF" w:themeColor="background1"/>
                        <w:sz w:val="20"/>
                        <w:szCs w:val="24"/>
                        <w14:textFill>
                          <w14:solidFill>
                            <w14:schemeClr w14:val="bg1"/>
                          </w14:solidFill>
                        </w14:textFill>
                      </w:rPr>
                    </w:pPr>
                    <w:r>
                      <w:rPr>
                        <w:sz w:val="20"/>
                      </w:rPr>
                      <w:fldChar w:fldCharType="begin"/>
                    </w:r>
                    <w:r>
                      <w:rPr>
                        <w:sz w:val="20"/>
                      </w:rPr>
                      <w:instrText xml:space="preserve">PAGE    \* MERGEFORMAT</w:instrText>
                    </w:r>
                    <w:r>
                      <w:rPr>
                        <w:sz w:val="20"/>
                      </w:rPr>
                      <w:fldChar w:fldCharType="separate"/>
                    </w:r>
                    <w:r>
                      <w:rPr>
                        <w:rStyle w:val="20"/>
                        <w:b/>
                        <w:bCs/>
                        <w:color w:val="FFFFFF" w:themeColor="background1"/>
                        <w:szCs w:val="24"/>
                        <w:lang w:val="es-ES"/>
                        <w14:textFill>
                          <w14:solidFill>
                            <w14:schemeClr w14:val="bg1"/>
                          </w14:solidFill>
                        </w14:textFill>
                      </w:rPr>
                      <w:t>8</w:t>
                    </w:r>
                    <w:r>
                      <w:rPr>
                        <w:rStyle w:val="20"/>
                        <w:b/>
                        <w:bCs/>
                        <w:color w:val="FFFFFF" w:themeColor="background1"/>
                        <w:szCs w:val="24"/>
                        <w14:textFill>
                          <w14:solidFill>
                            <w14:schemeClr w14:val="bg1"/>
                          </w14:solidFill>
                        </w14:textFill>
                      </w:rPr>
                      <w:fldChar w:fldCharType="end"/>
                    </w:r>
                  </w:p>
                </w:txbxContent>
              </v:textbox>
            </v:shape>
          </w:pict>
        </mc:Fallback>
      </mc:AlternateContent>
    </w:r>
    <w:r>
      <w:rPr>
        <w:lang w:val="zh-CN" w:eastAsia="zh-CN"/>
      </w:rPr>
      <w:drawing>
        <wp:inline distT="0" distB="0" distL="0" distR="0">
          <wp:extent cx="1028065" cy="310515"/>
          <wp:effectExtent l="0" t="0" r="8255" b="9525"/>
          <wp:docPr id="26" name="Imagen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3"/>
                  <pic:cNvPicPr>
                    <a:picLocks noChangeAspect="1"/>
                  </pic:cNvPicPr>
                </pic:nvPicPr>
                <pic:blipFill>
                  <a:blip r:embed="rId2">
                    <a:extLst>
                      <a:ext uri="{28A0092B-C50C-407E-A947-70E740481C1C}">
                        <a14:useLocalDpi xmlns:a14="http://schemas.microsoft.com/office/drawing/2010/main" val="0"/>
                      </a:ext>
                    </a:extLst>
                  </a:blip>
                  <a:srcRect t="33148" b="36666"/>
                  <a:stretch>
                    <a:fillRect/>
                  </a:stretch>
                </pic:blipFill>
                <pic:spPr>
                  <a:xfrm>
                    <a:off x="0" y="0"/>
                    <a:ext cx="1067486" cy="322266"/>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33E3">
    <w:pPr>
      <w:spacing w:after="0" w:line="240" w:lineRule="auto"/>
      <w:jc w:val="both"/>
      <w:rPr>
        <w:rFonts w:ascii="Times New Roman" w:hAnsi="Times New Roman" w:cs="Times New Roman"/>
        <w:b/>
        <w:sz w:val="16"/>
        <w:szCs w:val="16"/>
        <w:lang w:val="es-ES"/>
      </w:rPr>
    </w:pPr>
    <w:r>
      <w:rPr>
        <w:rFonts w:asciiTheme="majorHAnsi" w:hAnsiTheme="majorHAnsi" w:eastAsiaTheme="majorEastAsia" w:cstheme="majorBidi"/>
        <w:sz w:val="28"/>
        <w:szCs w:val="28"/>
        <w:lang w:val="zh-CN" w:eastAsia="zh-CN"/>
      </w:rPr>
      <mc:AlternateContent>
        <mc:Choice Requires="wps">
          <w:drawing>
            <wp:anchor distT="0" distB="0" distL="114300" distR="114300" simplePos="0" relativeHeight="251663360" behindDoc="0" locked="0" layoutInCell="0" allowOverlap="1">
              <wp:simplePos x="0" y="0"/>
              <wp:positionH relativeFrom="page">
                <wp:posOffset>6543040</wp:posOffset>
              </wp:positionH>
              <wp:positionV relativeFrom="bottomMargin">
                <wp:posOffset>134620</wp:posOffset>
              </wp:positionV>
              <wp:extent cx="323850" cy="323850"/>
              <wp:effectExtent l="0" t="0" r="11430" b="11430"/>
              <wp:wrapNone/>
              <wp:docPr id="20" name="Elipse 19"/>
              <wp:cNvGraphicFramePr/>
              <a:graphic xmlns:a="http://schemas.openxmlformats.org/drawingml/2006/main">
                <a:graphicData uri="http://schemas.microsoft.com/office/word/2010/wordprocessingShape">
                  <wps:wsp>
                    <wps:cNvSpPr>
                      <a:spLocks noChangeArrowheads="1"/>
                    </wps:cNvSpPr>
                    <wps:spPr bwMode="auto">
                      <a:xfrm>
                        <a:off x="0" y="0"/>
                        <a:ext cx="324000" cy="324000"/>
                      </a:xfrm>
                      <a:prstGeom prst="ellipse">
                        <a:avLst/>
                      </a:prstGeom>
                      <a:solidFill>
                        <a:srgbClr val="00CD23"/>
                      </a:solidFill>
                      <a:ln>
                        <a:noFill/>
                      </a:ln>
                    </wps:spPr>
                    <wps:txbx>
                      <w:txbxContent>
                        <w:p w14:paraId="64507384">
                          <w:pPr>
                            <w:jc w:val="center"/>
                            <w:rPr>
                              <w:rStyle w:val="20"/>
                              <w:color w:val="FFFFFF" w:themeColor="background1"/>
                              <w:sz w:val="20"/>
                              <w:szCs w:val="24"/>
                              <w14:textFill>
                                <w14:solidFill>
                                  <w14:schemeClr w14:val="bg1"/>
                                </w14:solidFill>
                              </w14:textFill>
                            </w:rPr>
                          </w:pPr>
                          <w:r>
                            <w:rPr>
                              <w:sz w:val="20"/>
                            </w:rPr>
                            <w:fldChar w:fldCharType="begin"/>
                          </w:r>
                          <w:r>
                            <w:rPr>
                              <w:sz w:val="20"/>
                            </w:rPr>
                            <w:instrText xml:space="preserve">PAGE    \* MERGEFORMAT</w:instrText>
                          </w:r>
                          <w:r>
                            <w:rPr>
                              <w:sz w:val="20"/>
                            </w:rPr>
                            <w:fldChar w:fldCharType="separate"/>
                          </w:r>
                          <w:r>
                            <w:rPr>
                              <w:rStyle w:val="20"/>
                              <w:b/>
                              <w:bCs/>
                              <w:color w:val="FFFFFF" w:themeColor="background1"/>
                              <w:szCs w:val="24"/>
                              <w:lang w:val="es-ES"/>
                              <w14:textFill>
                                <w14:solidFill>
                                  <w14:schemeClr w14:val="bg1"/>
                                </w14:solidFill>
                              </w14:textFill>
                            </w:rPr>
                            <w:t>1</w:t>
                          </w:r>
                          <w:r>
                            <w:rPr>
                              <w:rStyle w:val="20"/>
                              <w:b/>
                              <w:bCs/>
                              <w:color w:val="FFFFFF" w:themeColor="background1"/>
                              <w:szCs w:val="24"/>
                              <w14:textFill>
                                <w14:solidFill>
                                  <w14:schemeClr w14:val="bg1"/>
                                </w14:solidFill>
                              </w14:textFill>
                            </w:rPr>
                            <w:fldChar w:fldCharType="end"/>
                          </w:r>
                        </w:p>
                      </w:txbxContent>
                    </wps:txbx>
                    <wps:bodyPr rot="0" vert="horz" wrap="square" lIns="0" tIns="45720" rIns="0" bIns="45720" anchor="t" anchorCtr="0" upright="1">
                      <a:noAutofit/>
                    </wps:bodyPr>
                  </wps:wsp>
                </a:graphicData>
              </a:graphic>
            </wp:anchor>
          </w:drawing>
        </mc:Choice>
        <mc:Fallback>
          <w:pict>
            <v:shape id="Elipse 19" o:spid="_x0000_s1026" o:spt="3" type="#_x0000_t3" style="position:absolute;left:0pt;margin-left:515.2pt;margin-top:739.8pt;height:25.5pt;width:25.5pt;mso-position-horizontal-relative:page;mso-position-vertical-relative:page;z-index:251663360;mso-width-relative:page;mso-height-relative:page;" fillcolor="#00CD23" filled="t" stroked="f" coordsize="21600,21600" o:allowincell="f" o:gfxdata="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tK48tYAAAALAQAADwAAAAAAAAABACAA&#10;AAAiAAAAZHJzL2Rvd25yZXYueG1sUEsBAhQAFAAAAAgAh07iQIQJmtsPAgAALQQAAA4AAAAAAAAA&#10;AQAgAAAAJQEAAGRycy9lMm9Eb2MueG1sUEsFBgAAAAAGAAYAWQEAAKYFAAAAAA==&#10;">
              <v:fill on="t" focussize="0,0"/>
              <v:stroke on="f"/>
              <v:imagedata o:title=""/>
              <o:lock v:ext="edit" aspectratio="f"/>
              <v:textbox inset="0mm,1.27mm,0mm,1.27mm">
                <w:txbxContent>
                  <w:p w14:paraId="64507384">
                    <w:pPr>
                      <w:jc w:val="center"/>
                      <w:rPr>
                        <w:rStyle w:val="20"/>
                        <w:color w:val="FFFFFF" w:themeColor="background1"/>
                        <w:sz w:val="20"/>
                        <w:szCs w:val="24"/>
                        <w14:textFill>
                          <w14:solidFill>
                            <w14:schemeClr w14:val="bg1"/>
                          </w14:solidFill>
                        </w14:textFill>
                      </w:rPr>
                    </w:pPr>
                    <w:r>
                      <w:rPr>
                        <w:sz w:val="20"/>
                      </w:rPr>
                      <w:fldChar w:fldCharType="begin"/>
                    </w:r>
                    <w:r>
                      <w:rPr>
                        <w:sz w:val="20"/>
                      </w:rPr>
                      <w:instrText xml:space="preserve">PAGE    \* MERGEFORMAT</w:instrText>
                    </w:r>
                    <w:r>
                      <w:rPr>
                        <w:sz w:val="20"/>
                      </w:rPr>
                      <w:fldChar w:fldCharType="separate"/>
                    </w:r>
                    <w:r>
                      <w:rPr>
                        <w:rStyle w:val="20"/>
                        <w:b/>
                        <w:bCs/>
                        <w:color w:val="FFFFFF" w:themeColor="background1"/>
                        <w:szCs w:val="24"/>
                        <w:lang w:val="es-ES"/>
                        <w14:textFill>
                          <w14:solidFill>
                            <w14:schemeClr w14:val="bg1"/>
                          </w14:solidFill>
                        </w14:textFill>
                      </w:rPr>
                      <w:t>1</w:t>
                    </w:r>
                    <w:r>
                      <w:rPr>
                        <w:rStyle w:val="20"/>
                        <w:b/>
                        <w:bCs/>
                        <w:color w:val="FFFFFF" w:themeColor="background1"/>
                        <w:szCs w:val="24"/>
                        <w14:textFill>
                          <w14:solidFill>
                            <w14:schemeClr w14:val="bg1"/>
                          </w14:solidFill>
                        </w14:textFill>
                      </w:rPr>
                      <w:fldChar w:fldCharType="end"/>
                    </w:r>
                  </w:p>
                </w:txbxContent>
              </v:textbox>
            </v:shape>
          </w:pict>
        </mc:Fallback>
      </mc:AlternateContent>
    </w:r>
  </w:p>
  <w:p w14:paraId="2C8FDAE5">
    <w:pPr>
      <w:spacing w:after="0" w:line="240" w:lineRule="auto"/>
      <w:jc w:val="right"/>
      <w:rPr>
        <w:rFonts w:cs="Times New Roman" w:asciiTheme="minorHAnsi" w:hAnsiTheme="minorHAnsi"/>
        <w:sz w:val="16"/>
        <w:szCs w:val="16"/>
        <w:lang w:val="es-ES"/>
      </w:rPr>
    </w:pPr>
    <w:r>
      <w:rPr>
        <w:rFonts w:asciiTheme="minorHAnsi" w:hAnsiTheme="minorHAnsi"/>
        <w:lang w:val="zh-CN"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-41275</wp:posOffset>
              </wp:positionV>
              <wp:extent cx="5966460" cy="0"/>
              <wp:effectExtent l="0" t="5080" r="0" b="4445"/>
              <wp:wrapNone/>
              <wp:docPr id="21" name="Conector recto 11"/>
              <wp:cNvGraphicFramePr/>
              <a:graphic xmlns:a="http://schemas.openxmlformats.org/drawingml/2006/main">
                <a:graphicData uri="http://schemas.microsoft.com/office/word/2010/wordprocessingShape">
                  <wps:wsp>
                    <wps:cNvCnPr/>
                    <wps:spPr>
                      <a:xfrm>
                        <a:off x="0" y="0"/>
                        <a:ext cx="5966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11" o:spid="_x0000_s1026" o:spt="20" style="position:absolute;left:0pt;margin-left:0pt;margin-top:-3.25pt;height:0pt;width:469.8pt;z-index:251659264;mso-width-relative:page;mso-height-relative:page;" filled="f" stroked="t" coordsize="21600,21600" o:gfxdata="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hqjhnXAAAABgEA&#10;AA8AAAAAAAAAAQAgAAAAIgAAAGRycy9kb3ducmV2LnhtbFBLAQIUABQAAAAIAIdO4kCWXrA54gEA&#10;ANQDAAAOAAAAAAAAAAEAIAAAACYBAABkcnMvZTJvRG9jLnhtbFBLBQYAAAAABgAGAFkBAAB6BQAA&#10;AAA=&#10;">
              <v:fill on="f" focussize="0,0"/>
              <v:stroke color="#4A7EBB [3204]" joinstyle="round"/>
              <v:imagedata o:title=""/>
              <o:lock v:ext="edit" aspectratio="f"/>
            </v:line>
          </w:pict>
        </mc:Fallback>
      </mc:AlternateContent>
    </w:r>
  </w:p>
  <w:p w14:paraId="0C994B78">
    <w:pPr>
      <w:spacing w:after="0" w:line="240" w:lineRule="auto"/>
      <w:rPr>
        <w:rFonts w:cs="Times New Roman" w:asciiTheme="minorHAnsi" w:hAnsiTheme="minorHAnsi"/>
        <w:sz w:val="16"/>
        <w:szCs w:val="16"/>
        <w:lang w:val="es-ES"/>
      </w:rPr>
    </w:pPr>
    <w:r>
      <w:rPr>
        <w:rFonts w:cs="Times New Roman" w:asciiTheme="minorHAnsi" w:hAnsiTheme="minorHAnsi"/>
        <w:sz w:val="16"/>
        <w:szCs w:val="16"/>
        <w:lang w:val="es-ES"/>
      </w:rPr>
      <w:drawing>
        <wp:inline distT="0" distB="0" distL="0" distR="0">
          <wp:extent cx="838200" cy="295275"/>
          <wp:effectExtent l="0" t="0" r="0" b="9525"/>
          <wp:docPr id="2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r>
      <w:rPr>
        <w:rFonts w:cs="Times New Roman" w:asciiTheme="minorHAnsi" w:hAnsiTheme="minorHAnsi"/>
        <w:sz w:val="16"/>
        <w:szCs w:val="16"/>
        <w:lang w:val="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68728">
    <w:pPr>
      <w:pStyle w:val="17"/>
      <w:rPr>
        <w:rFonts w:hint="default" w:ascii="Calibri" w:hAnsi="Calibri" w:cs="Calibri"/>
        <w:sz w:val="16"/>
        <w:szCs w:val="16"/>
        <w:lang w:val="es-ES" w:eastAsia="zh-CN"/>
      </w:rPr>
    </w:pPr>
    <w:r>
      <w:rPr>
        <w:sz w:val="16"/>
      </w:rPr>
      <mc:AlternateContent>
        <mc:Choice Requires="wps">
          <w:drawing>
            <wp:anchor distT="0" distB="0" distL="114300" distR="114300" simplePos="0" relativeHeight="251664384" behindDoc="0" locked="0" layoutInCell="1" allowOverlap="1">
              <wp:simplePos x="0" y="0"/>
              <wp:positionH relativeFrom="column">
                <wp:posOffset>-10160</wp:posOffset>
              </wp:positionH>
              <wp:positionV relativeFrom="paragraph">
                <wp:posOffset>372745</wp:posOffset>
              </wp:positionV>
              <wp:extent cx="6014085" cy="5715"/>
              <wp:effectExtent l="0" t="12700" r="5715" b="27305"/>
              <wp:wrapNone/>
              <wp:docPr id="4" name="Straight Connector 4"/>
              <wp:cNvGraphicFramePr/>
              <a:graphic xmlns:a="http://schemas.openxmlformats.org/drawingml/2006/main">
                <a:graphicData uri="http://schemas.microsoft.com/office/word/2010/wordprocessingShape">
                  <wps:wsp>
                    <wps:cNvCnPr/>
                    <wps:spPr>
                      <a:xfrm>
                        <a:off x="890270" y="822960"/>
                        <a:ext cx="6014085" cy="571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8pt;margin-top:29.35pt;height:0.45pt;width:473.55pt;z-index:251664384;mso-width-relative:page;mso-height-relative:page;" filled="f" stroked="t" coordsize="21600,21600" o:gfxdata="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4s5DtYAAAAIAQAADwAAAAAAAAAB&#10;ACAAAAAiAAAAZHJzL2Rvd25yZXYueG1sUEsBAhQAFAAAAAgAh07iQGPeosvZAQAAqwMAAA4AAAAA&#10;AAAAAQAgAAAAJQEAAGRycy9lMm9Eb2MueG1sUEsFBgAAAAAGAAYAWQEAAHAFAAAAAA==&#10;">
              <v:fill on="f" focussize="0,0"/>
              <v:stroke weight="2pt" color="#4F81BD [3204]" joinstyle="round"/>
              <v:imagedata o:title=""/>
              <o:lock v:ext="edit" aspectratio="f"/>
            </v:line>
          </w:pict>
        </mc:Fallback>
      </mc:AlternateContent>
    </w:r>
    <w:r>
      <w:rPr>
        <w:rFonts w:hint="default" w:ascii="Calibri" w:hAnsi="Calibri" w:eastAsia="Segoe UI" w:cs="Calibri"/>
        <w:i w:val="0"/>
        <w:iCs w:val="0"/>
        <w:caps w:val="0"/>
        <w:spacing w:val="0"/>
        <w:sz w:val="16"/>
        <w:szCs w:val="16"/>
        <w:shd w:val="clear" w:fill="FFFFFF"/>
      </w:rPr>
      <w:t>Meza Alcantara , A. A., Ambrosio Peña, J. kety, Pariona Amaya, D., Romero Cisneros, C. M., Tello Porras, D. A., Torres Ruiz , F. J., &amp; Silva Murillo, J. M. (2024). Transformando la experiencia ciudadana: Análisis de la calidad de servicio y satisfacción en la oficina de atención al ciudadano de una municipalidad de la Selva Central, Perú 2022. </w:t>
    </w:r>
    <w:r>
      <w:rPr>
        <w:rFonts w:hint="default" w:ascii="Calibri" w:hAnsi="Calibri" w:eastAsia="Segoe UI" w:cs="Calibri"/>
        <w:i/>
        <w:iCs/>
        <w:caps w:val="0"/>
        <w:spacing w:val="0"/>
        <w:sz w:val="16"/>
        <w:szCs w:val="16"/>
        <w:shd w:val="clear" w:fill="FFFFFF"/>
      </w:rPr>
      <w:t>E-Revista Multidisciplinaria Del Saber</w:t>
    </w:r>
    <w:r>
      <w:rPr>
        <w:rFonts w:hint="default" w:ascii="Calibri" w:hAnsi="Calibri" w:eastAsia="Segoe UI" w:cs="Calibri"/>
        <w:i w:val="0"/>
        <w:iCs w:val="0"/>
        <w:caps w:val="0"/>
        <w:spacing w:val="0"/>
        <w:sz w:val="16"/>
        <w:szCs w:val="16"/>
        <w:shd w:val="clear" w:fill="FFFFFF"/>
      </w:rPr>
      <w:t>, </w:t>
    </w:r>
    <w:r>
      <w:rPr>
        <w:rFonts w:hint="default" w:ascii="Calibri" w:hAnsi="Calibri" w:eastAsia="Segoe UI" w:cs="Calibri"/>
        <w:i/>
        <w:iCs/>
        <w:caps w:val="0"/>
        <w:spacing w:val="0"/>
        <w:sz w:val="16"/>
        <w:szCs w:val="16"/>
        <w:shd w:val="clear" w:fill="FFFFFF"/>
      </w:rPr>
      <w:t>2</w:t>
    </w:r>
    <w:r>
      <w:rPr>
        <w:rFonts w:hint="default" w:ascii="Calibri" w:hAnsi="Calibri" w:eastAsia="Segoe UI" w:cs="Calibri"/>
        <w:i w:val="0"/>
        <w:iCs w:val="0"/>
        <w:caps w:val="0"/>
        <w:spacing w:val="0"/>
        <w:sz w:val="16"/>
        <w:szCs w:val="16"/>
        <w:shd w:val="clear" w:fill="FFFFFF"/>
      </w:rPr>
      <w:t xml:space="preserve">, e-RMS04112024. </w:t>
    </w:r>
    <w:r>
      <w:rPr>
        <w:rFonts w:hint="default" w:ascii="Calibri" w:hAnsi="Calibri" w:eastAsia="Segoe UI" w:cs="Calibri"/>
        <w:i w:val="0"/>
        <w:iCs w:val="0"/>
        <w:caps w:val="0"/>
        <w:spacing w:val="0"/>
        <w:sz w:val="16"/>
        <w:szCs w:val="16"/>
        <w:shd w:val="clear" w:fill="FFFFFF"/>
      </w:rPr>
      <w:fldChar w:fldCharType="begin"/>
    </w:r>
    <w:r>
      <w:rPr>
        <w:rFonts w:hint="default" w:ascii="Calibri" w:hAnsi="Calibri" w:eastAsia="Segoe UI" w:cs="Calibri"/>
        <w:i w:val="0"/>
        <w:iCs w:val="0"/>
        <w:caps w:val="0"/>
        <w:spacing w:val="0"/>
        <w:sz w:val="16"/>
        <w:szCs w:val="16"/>
        <w:shd w:val="clear" w:fill="FFFFFF"/>
      </w:rPr>
      <w:instrText xml:space="preserve"> HYPERLINK "https://doi.org/10.61286/e-rms.v2i.98" </w:instrText>
    </w:r>
    <w:r>
      <w:rPr>
        <w:rFonts w:hint="default" w:ascii="Calibri" w:hAnsi="Calibri" w:eastAsia="Segoe UI" w:cs="Calibri"/>
        <w:i w:val="0"/>
        <w:iCs w:val="0"/>
        <w:caps w:val="0"/>
        <w:spacing w:val="0"/>
        <w:sz w:val="16"/>
        <w:szCs w:val="16"/>
        <w:shd w:val="clear" w:fill="FFFFFF"/>
      </w:rPr>
      <w:fldChar w:fldCharType="separate"/>
    </w:r>
    <w:r>
      <w:rPr>
        <w:rStyle w:val="18"/>
        <w:rFonts w:hint="default" w:ascii="Calibri" w:hAnsi="Calibri" w:eastAsia="Segoe UI" w:cs="Calibri"/>
        <w:i w:val="0"/>
        <w:iCs w:val="0"/>
        <w:caps w:val="0"/>
        <w:spacing w:val="0"/>
        <w:sz w:val="16"/>
        <w:szCs w:val="16"/>
        <w:shd w:val="clear" w:fill="FFFFFF"/>
      </w:rPr>
      <w:t>https://doi.org/10.61286/e-rms.v2i.98</w:t>
    </w:r>
    <w:r>
      <w:rPr>
        <w:rFonts w:hint="default" w:ascii="Calibri" w:hAnsi="Calibri" w:eastAsia="Segoe UI" w:cs="Calibri"/>
        <w:i w:val="0"/>
        <w:iCs w:val="0"/>
        <w:caps w:val="0"/>
        <w:spacing w:val="0"/>
        <w:sz w:val="16"/>
        <w:szCs w:val="16"/>
        <w:shd w:val="clear" w:fill="FFFFFF"/>
      </w:rPr>
      <w:fldChar w:fldCharType="end"/>
    </w:r>
    <w:r>
      <w:rPr>
        <w:rFonts w:hint="default" w:ascii="Calibri" w:hAnsi="Calibri" w:eastAsia="Segoe UI" w:cs="Calibri"/>
        <w:i w:val="0"/>
        <w:iCs w:val="0"/>
        <w:caps w:val="0"/>
        <w:spacing w:val="0"/>
        <w:sz w:val="16"/>
        <w:szCs w:val="16"/>
        <w:shd w:val="clear" w:fill="FFFFFF"/>
        <w:lang w:val="es-ES"/>
      </w:rPr>
      <w:t xml:space="preserve">  </w:t>
    </w:r>
    <w:r>
      <w:rPr>
        <w:rFonts w:hint="default" w:ascii="Calibri" w:hAnsi="Calibri" w:cs="Calibri"/>
        <w:sz w:val="16"/>
        <w:szCs w:val="16"/>
        <w:lang w:val="es-E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00AE5">
    <w:pPr>
      <w:pStyle w:val="17"/>
    </w:pPr>
    <w:r>
      <w:rPr>
        <w:lang w:val="zh-CN" w:eastAsia="zh-CN"/>
      </w:rPr>
      <w:drawing>
        <wp:anchor distT="0" distB="0" distL="114300" distR="114300" simplePos="0" relativeHeight="251662336" behindDoc="0" locked="0" layoutInCell="1" allowOverlap="1">
          <wp:simplePos x="0" y="0"/>
          <wp:positionH relativeFrom="page">
            <wp:posOffset>940435</wp:posOffset>
          </wp:positionH>
          <wp:positionV relativeFrom="page">
            <wp:posOffset>487680</wp:posOffset>
          </wp:positionV>
          <wp:extent cx="683895" cy="683895"/>
          <wp:effectExtent l="0" t="0" r="1905" b="1905"/>
          <wp:wrapNone/>
          <wp:docPr id="16" name="Imagen 18" descr="D:\Users\Admin\Desktop\qr-code (83)(1).pngqr-code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8" descr="D:\Users\Admin\Desktop\qr-code (83)(1).pngqr-code (83)(1)"/>
                  <pic:cNvPicPr>
                    <a:picLocks noChangeAspect="1" noChangeArrowheads="1"/>
                  </pic:cNvPicPr>
                </pic:nvPicPr>
                <pic:blipFill>
                  <a:blip r:embed="rId1"/>
                  <a:srcRect/>
                  <a:stretch>
                    <a:fillRect/>
                  </a:stretch>
                </pic:blipFill>
                <pic:spPr>
                  <a:xfrm>
                    <a:off x="0" y="0"/>
                    <a:ext cx="684000" cy="684000"/>
                  </a:xfrm>
                  <a:prstGeom prst="rect">
                    <a:avLst/>
                  </a:prstGeom>
                  <a:noFill/>
                  <a:ln>
                    <a:noFill/>
                  </a:ln>
                </pic:spPr>
              </pic:pic>
            </a:graphicData>
          </a:graphic>
        </wp:anchor>
      </w:drawing>
    </w:r>
    <w:r>
      <w:rPr>
        <w:lang w:val="zh-CN" w:eastAsia="zh-CN"/>
      </w:rPr>
      <w:drawing>
        <wp:inline distT="0" distB="0" distL="0" distR="0">
          <wp:extent cx="6022975" cy="771525"/>
          <wp:effectExtent l="0" t="0" r="12065" b="5715"/>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23324" cy="771583"/>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6FFDC"/>
    <w:multiLevelType w:val="singleLevel"/>
    <w:tmpl w:val="ADF6FFDC"/>
    <w:lvl w:ilvl="0" w:tentative="0">
      <w:start w:val="1"/>
      <w:numFmt w:val="decimal"/>
      <w:suff w:val="space"/>
      <w:lvlText w:val="(%1)"/>
      <w:lvlJc w:val="left"/>
    </w:lvl>
  </w:abstractNum>
  <w:abstractNum w:abstractNumId="1">
    <w:nsid w:val="73C47C71"/>
    <w:multiLevelType w:val="multilevel"/>
    <w:tmpl w:val="73C47C71"/>
    <w:lvl w:ilvl="0" w:tentative="0">
      <w:start w:val="1"/>
      <w:numFmt w:val="decimal"/>
      <w:pStyle w:val="40"/>
      <w:lvlText w:val="(%1)"/>
      <w:lvlJc w:val="left"/>
      <w:pPr>
        <w:ind w:left="470" w:hanging="215"/>
      </w:pPr>
      <w:rPr>
        <w:rFonts w:hint="default" w:eastAsia="Times New Roman" w:cs="Times New Roman" w:asciiTheme="minorHAnsi" w:hAnsiTheme="minorHAnsi"/>
        <w:b w:val="0"/>
        <w:bCs w:val="0"/>
        <w:i w:val="0"/>
        <w:iCs w:val="0"/>
        <w:w w:val="99"/>
        <w:position w:val="8"/>
        <w:sz w:val="14"/>
        <w:szCs w:val="15"/>
        <w:lang w:val="es-ES" w:eastAsia="en-US" w:bidi="ar-SA"/>
      </w:rPr>
    </w:lvl>
    <w:lvl w:ilvl="1" w:tentative="0">
      <w:start w:val="0"/>
      <w:numFmt w:val="bullet"/>
      <w:lvlText w:val="•"/>
      <w:lvlJc w:val="left"/>
      <w:pPr>
        <w:ind w:left="1174" w:hanging="215"/>
      </w:pPr>
      <w:rPr>
        <w:rFonts w:hint="default"/>
        <w:lang w:val="es-ES" w:eastAsia="en-US" w:bidi="ar-SA"/>
      </w:rPr>
    </w:lvl>
    <w:lvl w:ilvl="2" w:tentative="0">
      <w:start w:val="0"/>
      <w:numFmt w:val="bullet"/>
      <w:lvlText w:val="•"/>
      <w:lvlJc w:val="left"/>
      <w:pPr>
        <w:ind w:left="1868" w:hanging="215"/>
      </w:pPr>
      <w:rPr>
        <w:rFonts w:hint="default"/>
        <w:lang w:val="es-ES" w:eastAsia="en-US" w:bidi="ar-SA"/>
      </w:rPr>
    </w:lvl>
    <w:lvl w:ilvl="3" w:tentative="0">
      <w:start w:val="0"/>
      <w:numFmt w:val="bullet"/>
      <w:lvlText w:val="•"/>
      <w:lvlJc w:val="left"/>
      <w:pPr>
        <w:ind w:left="2563" w:hanging="215"/>
      </w:pPr>
      <w:rPr>
        <w:rFonts w:hint="default"/>
        <w:lang w:val="es-ES" w:eastAsia="en-US" w:bidi="ar-SA"/>
      </w:rPr>
    </w:lvl>
    <w:lvl w:ilvl="4" w:tentative="0">
      <w:start w:val="0"/>
      <w:numFmt w:val="bullet"/>
      <w:lvlText w:val="•"/>
      <w:lvlJc w:val="left"/>
      <w:pPr>
        <w:ind w:left="3257" w:hanging="215"/>
      </w:pPr>
      <w:rPr>
        <w:rFonts w:hint="default"/>
        <w:lang w:val="es-ES" w:eastAsia="en-US" w:bidi="ar-SA"/>
      </w:rPr>
    </w:lvl>
    <w:lvl w:ilvl="5" w:tentative="0">
      <w:start w:val="0"/>
      <w:numFmt w:val="bullet"/>
      <w:lvlText w:val="•"/>
      <w:lvlJc w:val="left"/>
      <w:pPr>
        <w:ind w:left="3952" w:hanging="215"/>
      </w:pPr>
      <w:rPr>
        <w:rFonts w:hint="default"/>
        <w:lang w:val="es-ES" w:eastAsia="en-US" w:bidi="ar-SA"/>
      </w:rPr>
    </w:lvl>
    <w:lvl w:ilvl="6" w:tentative="0">
      <w:start w:val="0"/>
      <w:numFmt w:val="bullet"/>
      <w:lvlText w:val="•"/>
      <w:lvlJc w:val="left"/>
      <w:pPr>
        <w:ind w:left="4646" w:hanging="215"/>
      </w:pPr>
      <w:rPr>
        <w:rFonts w:hint="default"/>
        <w:lang w:val="es-ES" w:eastAsia="en-US" w:bidi="ar-SA"/>
      </w:rPr>
    </w:lvl>
    <w:lvl w:ilvl="7" w:tentative="0">
      <w:start w:val="0"/>
      <w:numFmt w:val="bullet"/>
      <w:lvlText w:val="•"/>
      <w:lvlJc w:val="left"/>
      <w:pPr>
        <w:ind w:left="5341" w:hanging="215"/>
      </w:pPr>
      <w:rPr>
        <w:rFonts w:hint="default"/>
        <w:lang w:val="es-ES" w:eastAsia="en-US" w:bidi="ar-SA"/>
      </w:rPr>
    </w:lvl>
    <w:lvl w:ilvl="8" w:tentative="0">
      <w:start w:val="0"/>
      <w:numFmt w:val="bullet"/>
      <w:lvlText w:val="•"/>
      <w:lvlJc w:val="left"/>
      <w:pPr>
        <w:ind w:left="6035" w:hanging="215"/>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F6"/>
    <w:rsid w:val="0003576C"/>
    <w:rsid w:val="00036828"/>
    <w:rsid w:val="00042B25"/>
    <w:rsid w:val="00045BAB"/>
    <w:rsid w:val="000640E7"/>
    <w:rsid w:val="0006471A"/>
    <w:rsid w:val="00073DF3"/>
    <w:rsid w:val="0007402C"/>
    <w:rsid w:val="00082511"/>
    <w:rsid w:val="000A1906"/>
    <w:rsid w:val="000A24C3"/>
    <w:rsid w:val="000B0A17"/>
    <w:rsid w:val="000B3E8B"/>
    <w:rsid w:val="000B480F"/>
    <w:rsid w:val="000B5A03"/>
    <w:rsid w:val="000D5634"/>
    <w:rsid w:val="000E1F2B"/>
    <w:rsid w:val="000E6900"/>
    <w:rsid w:val="001045E7"/>
    <w:rsid w:val="00131DA8"/>
    <w:rsid w:val="00136DCE"/>
    <w:rsid w:val="00137907"/>
    <w:rsid w:val="001518E8"/>
    <w:rsid w:val="00152555"/>
    <w:rsid w:val="0015489F"/>
    <w:rsid w:val="00160633"/>
    <w:rsid w:val="00177A3D"/>
    <w:rsid w:val="00177EBC"/>
    <w:rsid w:val="00183728"/>
    <w:rsid w:val="00187B08"/>
    <w:rsid w:val="0019200F"/>
    <w:rsid w:val="001A28E0"/>
    <w:rsid w:val="001A323E"/>
    <w:rsid w:val="001A691D"/>
    <w:rsid w:val="001B288B"/>
    <w:rsid w:val="001E175F"/>
    <w:rsid w:val="001F6D77"/>
    <w:rsid w:val="001F7DC8"/>
    <w:rsid w:val="00201C54"/>
    <w:rsid w:val="00211A26"/>
    <w:rsid w:val="00212902"/>
    <w:rsid w:val="00221C50"/>
    <w:rsid w:val="00222282"/>
    <w:rsid w:val="00224391"/>
    <w:rsid w:val="00225537"/>
    <w:rsid w:val="00232E08"/>
    <w:rsid w:val="002405FB"/>
    <w:rsid w:val="00244A39"/>
    <w:rsid w:val="002514F4"/>
    <w:rsid w:val="00255208"/>
    <w:rsid w:val="00267B36"/>
    <w:rsid w:val="00275B3B"/>
    <w:rsid w:val="00277392"/>
    <w:rsid w:val="00287D0B"/>
    <w:rsid w:val="00295C73"/>
    <w:rsid w:val="002A0F68"/>
    <w:rsid w:val="002A688C"/>
    <w:rsid w:val="002C2E43"/>
    <w:rsid w:val="002C7B60"/>
    <w:rsid w:val="002D0226"/>
    <w:rsid w:val="002D0F94"/>
    <w:rsid w:val="002D262B"/>
    <w:rsid w:val="002E3A7A"/>
    <w:rsid w:val="002E6478"/>
    <w:rsid w:val="002F3959"/>
    <w:rsid w:val="002F4EC5"/>
    <w:rsid w:val="00303A4F"/>
    <w:rsid w:val="00312C23"/>
    <w:rsid w:val="0031705E"/>
    <w:rsid w:val="003254D3"/>
    <w:rsid w:val="00332464"/>
    <w:rsid w:val="0033360A"/>
    <w:rsid w:val="00340A27"/>
    <w:rsid w:val="00357C47"/>
    <w:rsid w:val="003603A0"/>
    <w:rsid w:val="003611F7"/>
    <w:rsid w:val="00370448"/>
    <w:rsid w:val="00371D1C"/>
    <w:rsid w:val="00383EDD"/>
    <w:rsid w:val="003968DD"/>
    <w:rsid w:val="003A4BF5"/>
    <w:rsid w:val="003B2A7F"/>
    <w:rsid w:val="003C17E3"/>
    <w:rsid w:val="003D6078"/>
    <w:rsid w:val="003E5E87"/>
    <w:rsid w:val="003E63CB"/>
    <w:rsid w:val="003F28BD"/>
    <w:rsid w:val="003F570F"/>
    <w:rsid w:val="00403292"/>
    <w:rsid w:val="00404299"/>
    <w:rsid w:val="004249A5"/>
    <w:rsid w:val="00424B12"/>
    <w:rsid w:val="0042747B"/>
    <w:rsid w:val="00436BCE"/>
    <w:rsid w:val="004375F4"/>
    <w:rsid w:val="00442881"/>
    <w:rsid w:val="0044336B"/>
    <w:rsid w:val="00451AEE"/>
    <w:rsid w:val="004557CC"/>
    <w:rsid w:val="00465C17"/>
    <w:rsid w:val="00467DC9"/>
    <w:rsid w:val="00480D73"/>
    <w:rsid w:val="00484B4C"/>
    <w:rsid w:val="00492A92"/>
    <w:rsid w:val="004A4E4B"/>
    <w:rsid w:val="004A4EA5"/>
    <w:rsid w:val="004B05EE"/>
    <w:rsid w:val="004B31E4"/>
    <w:rsid w:val="004B69A2"/>
    <w:rsid w:val="004C0041"/>
    <w:rsid w:val="004C5023"/>
    <w:rsid w:val="004E14AC"/>
    <w:rsid w:val="004E3286"/>
    <w:rsid w:val="004E33FB"/>
    <w:rsid w:val="004F63A3"/>
    <w:rsid w:val="0050636C"/>
    <w:rsid w:val="00506DB5"/>
    <w:rsid w:val="0051472F"/>
    <w:rsid w:val="0052212A"/>
    <w:rsid w:val="00522214"/>
    <w:rsid w:val="0052791D"/>
    <w:rsid w:val="00553E5E"/>
    <w:rsid w:val="005606BA"/>
    <w:rsid w:val="0056109D"/>
    <w:rsid w:val="00571362"/>
    <w:rsid w:val="00591C95"/>
    <w:rsid w:val="005A35F5"/>
    <w:rsid w:val="005A6727"/>
    <w:rsid w:val="005B33FF"/>
    <w:rsid w:val="005F5858"/>
    <w:rsid w:val="005F6BA3"/>
    <w:rsid w:val="006106CE"/>
    <w:rsid w:val="00611277"/>
    <w:rsid w:val="00613EAE"/>
    <w:rsid w:val="0061759B"/>
    <w:rsid w:val="00624C24"/>
    <w:rsid w:val="006312AD"/>
    <w:rsid w:val="00647F54"/>
    <w:rsid w:val="006511C3"/>
    <w:rsid w:val="0065179B"/>
    <w:rsid w:val="00653621"/>
    <w:rsid w:val="00660B71"/>
    <w:rsid w:val="00683E68"/>
    <w:rsid w:val="0069468A"/>
    <w:rsid w:val="00696E28"/>
    <w:rsid w:val="006975CA"/>
    <w:rsid w:val="006A1E5A"/>
    <w:rsid w:val="006B5B38"/>
    <w:rsid w:val="006B6C97"/>
    <w:rsid w:val="006E0341"/>
    <w:rsid w:val="006E35DD"/>
    <w:rsid w:val="006E6EDD"/>
    <w:rsid w:val="006F2EAB"/>
    <w:rsid w:val="006F4522"/>
    <w:rsid w:val="007045B2"/>
    <w:rsid w:val="00706C48"/>
    <w:rsid w:val="0071045F"/>
    <w:rsid w:val="0071144E"/>
    <w:rsid w:val="00723FA8"/>
    <w:rsid w:val="00725108"/>
    <w:rsid w:val="00726D46"/>
    <w:rsid w:val="007360E3"/>
    <w:rsid w:val="007362D9"/>
    <w:rsid w:val="00741EA8"/>
    <w:rsid w:val="007518AC"/>
    <w:rsid w:val="00764B55"/>
    <w:rsid w:val="00775E03"/>
    <w:rsid w:val="00784554"/>
    <w:rsid w:val="007865C8"/>
    <w:rsid w:val="007905CF"/>
    <w:rsid w:val="0079483D"/>
    <w:rsid w:val="007A1CFE"/>
    <w:rsid w:val="007A7CAC"/>
    <w:rsid w:val="007B185F"/>
    <w:rsid w:val="007B449D"/>
    <w:rsid w:val="007B77DA"/>
    <w:rsid w:val="007C56C4"/>
    <w:rsid w:val="007C606F"/>
    <w:rsid w:val="007D49A6"/>
    <w:rsid w:val="007F274A"/>
    <w:rsid w:val="007F678B"/>
    <w:rsid w:val="0081266C"/>
    <w:rsid w:val="00812CF3"/>
    <w:rsid w:val="00816175"/>
    <w:rsid w:val="008168A0"/>
    <w:rsid w:val="00820625"/>
    <w:rsid w:val="008219CF"/>
    <w:rsid w:val="00824BE3"/>
    <w:rsid w:val="00830756"/>
    <w:rsid w:val="00835C33"/>
    <w:rsid w:val="00836880"/>
    <w:rsid w:val="008538FC"/>
    <w:rsid w:val="00855420"/>
    <w:rsid w:val="00866562"/>
    <w:rsid w:val="00870C3C"/>
    <w:rsid w:val="008734C3"/>
    <w:rsid w:val="00874FAC"/>
    <w:rsid w:val="0089306D"/>
    <w:rsid w:val="008950C5"/>
    <w:rsid w:val="008A78D4"/>
    <w:rsid w:val="008B0390"/>
    <w:rsid w:val="008B1411"/>
    <w:rsid w:val="008B1E31"/>
    <w:rsid w:val="008B3908"/>
    <w:rsid w:val="008C36A6"/>
    <w:rsid w:val="008C48CF"/>
    <w:rsid w:val="008C5FA6"/>
    <w:rsid w:val="008C7E5B"/>
    <w:rsid w:val="008D170D"/>
    <w:rsid w:val="008D6508"/>
    <w:rsid w:val="008E34E9"/>
    <w:rsid w:val="008F00F8"/>
    <w:rsid w:val="00901C2F"/>
    <w:rsid w:val="009050E1"/>
    <w:rsid w:val="00917185"/>
    <w:rsid w:val="00921685"/>
    <w:rsid w:val="00926640"/>
    <w:rsid w:val="00933E8F"/>
    <w:rsid w:val="00952347"/>
    <w:rsid w:val="00960A91"/>
    <w:rsid w:val="00961A69"/>
    <w:rsid w:val="00962B8E"/>
    <w:rsid w:val="0096320D"/>
    <w:rsid w:val="009717BF"/>
    <w:rsid w:val="00972131"/>
    <w:rsid w:val="00982D38"/>
    <w:rsid w:val="00990B96"/>
    <w:rsid w:val="009A43BC"/>
    <w:rsid w:val="009A5C0B"/>
    <w:rsid w:val="009B1868"/>
    <w:rsid w:val="009C1219"/>
    <w:rsid w:val="009C453D"/>
    <w:rsid w:val="009D7458"/>
    <w:rsid w:val="009F5BDA"/>
    <w:rsid w:val="00A061F8"/>
    <w:rsid w:val="00A23B12"/>
    <w:rsid w:val="00A25741"/>
    <w:rsid w:val="00A25AB0"/>
    <w:rsid w:val="00A27150"/>
    <w:rsid w:val="00A36EA7"/>
    <w:rsid w:val="00A535E4"/>
    <w:rsid w:val="00A62571"/>
    <w:rsid w:val="00A659D7"/>
    <w:rsid w:val="00A70F58"/>
    <w:rsid w:val="00A7184F"/>
    <w:rsid w:val="00A729EB"/>
    <w:rsid w:val="00A72FD5"/>
    <w:rsid w:val="00A81938"/>
    <w:rsid w:val="00A85421"/>
    <w:rsid w:val="00A9106F"/>
    <w:rsid w:val="00A94150"/>
    <w:rsid w:val="00AB2E3A"/>
    <w:rsid w:val="00AC2C05"/>
    <w:rsid w:val="00AE44F1"/>
    <w:rsid w:val="00AE6108"/>
    <w:rsid w:val="00B03556"/>
    <w:rsid w:val="00B06626"/>
    <w:rsid w:val="00B11453"/>
    <w:rsid w:val="00B1368B"/>
    <w:rsid w:val="00B21F80"/>
    <w:rsid w:val="00B2603A"/>
    <w:rsid w:val="00B34D75"/>
    <w:rsid w:val="00B370CF"/>
    <w:rsid w:val="00B508CF"/>
    <w:rsid w:val="00B70402"/>
    <w:rsid w:val="00B7114F"/>
    <w:rsid w:val="00B71D18"/>
    <w:rsid w:val="00B732DD"/>
    <w:rsid w:val="00B81330"/>
    <w:rsid w:val="00B84EEC"/>
    <w:rsid w:val="00B86592"/>
    <w:rsid w:val="00B908C1"/>
    <w:rsid w:val="00BA4755"/>
    <w:rsid w:val="00BB2BB4"/>
    <w:rsid w:val="00BB4EEC"/>
    <w:rsid w:val="00BD4CC4"/>
    <w:rsid w:val="00BD508A"/>
    <w:rsid w:val="00BD6122"/>
    <w:rsid w:val="00BD73C8"/>
    <w:rsid w:val="00BE47EF"/>
    <w:rsid w:val="00BE7AFC"/>
    <w:rsid w:val="00C022B4"/>
    <w:rsid w:val="00C052A1"/>
    <w:rsid w:val="00C10CEC"/>
    <w:rsid w:val="00C11CCB"/>
    <w:rsid w:val="00C123F9"/>
    <w:rsid w:val="00C13782"/>
    <w:rsid w:val="00C15CBE"/>
    <w:rsid w:val="00C240D3"/>
    <w:rsid w:val="00C25597"/>
    <w:rsid w:val="00C317A4"/>
    <w:rsid w:val="00C32E87"/>
    <w:rsid w:val="00C552A1"/>
    <w:rsid w:val="00C8567D"/>
    <w:rsid w:val="00C85700"/>
    <w:rsid w:val="00C86182"/>
    <w:rsid w:val="00C956CD"/>
    <w:rsid w:val="00CA546D"/>
    <w:rsid w:val="00CB1497"/>
    <w:rsid w:val="00CB15CA"/>
    <w:rsid w:val="00CB413C"/>
    <w:rsid w:val="00CB6094"/>
    <w:rsid w:val="00CD32ED"/>
    <w:rsid w:val="00CD59E6"/>
    <w:rsid w:val="00CE0025"/>
    <w:rsid w:val="00CE0D69"/>
    <w:rsid w:val="00CE2A20"/>
    <w:rsid w:val="00CE6CE1"/>
    <w:rsid w:val="00CF5F57"/>
    <w:rsid w:val="00D16A7C"/>
    <w:rsid w:val="00D16AFA"/>
    <w:rsid w:val="00D25A8F"/>
    <w:rsid w:val="00D25DD3"/>
    <w:rsid w:val="00D26DC6"/>
    <w:rsid w:val="00D270B3"/>
    <w:rsid w:val="00D27E19"/>
    <w:rsid w:val="00D30542"/>
    <w:rsid w:val="00D35392"/>
    <w:rsid w:val="00D5703B"/>
    <w:rsid w:val="00D5722F"/>
    <w:rsid w:val="00D622C6"/>
    <w:rsid w:val="00D73333"/>
    <w:rsid w:val="00D8098C"/>
    <w:rsid w:val="00D85677"/>
    <w:rsid w:val="00D86098"/>
    <w:rsid w:val="00D866C5"/>
    <w:rsid w:val="00D867B1"/>
    <w:rsid w:val="00D91444"/>
    <w:rsid w:val="00D94278"/>
    <w:rsid w:val="00DA04F8"/>
    <w:rsid w:val="00DA07BF"/>
    <w:rsid w:val="00DA25BD"/>
    <w:rsid w:val="00DA3408"/>
    <w:rsid w:val="00DA4A71"/>
    <w:rsid w:val="00DB0093"/>
    <w:rsid w:val="00DB22A2"/>
    <w:rsid w:val="00DB28AC"/>
    <w:rsid w:val="00DB7D89"/>
    <w:rsid w:val="00DC0E1F"/>
    <w:rsid w:val="00DC2CA8"/>
    <w:rsid w:val="00DD2581"/>
    <w:rsid w:val="00DD3EEB"/>
    <w:rsid w:val="00DD6E34"/>
    <w:rsid w:val="00DD6ECA"/>
    <w:rsid w:val="00DE28A7"/>
    <w:rsid w:val="00DE6924"/>
    <w:rsid w:val="00DF25AA"/>
    <w:rsid w:val="00DF476C"/>
    <w:rsid w:val="00DF7271"/>
    <w:rsid w:val="00E02850"/>
    <w:rsid w:val="00E13E1C"/>
    <w:rsid w:val="00E14E73"/>
    <w:rsid w:val="00E1738C"/>
    <w:rsid w:val="00E238ED"/>
    <w:rsid w:val="00E35FFE"/>
    <w:rsid w:val="00E4398C"/>
    <w:rsid w:val="00E505EF"/>
    <w:rsid w:val="00E51E08"/>
    <w:rsid w:val="00E5763E"/>
    <w:rsid w:val="00E57EBF"/>
    <w:rsid w:val="00E61A69"/>
    <w:rsid w:val="00E62DCF"/>
    <w:rsid w:val="00E66C4D"/>
    <w:rsid w:val="00E66E84"/>
    <w:rsid w:val="00E67D08"/>
    <w:rsid w:val="00E67F71"/>
    <w:rsid w:val="00E74800"/>
    <w:rsid w:val="00E75922"/>
    <w:rsid w:val="00E85BE6"/>
    <w:rsid w:val="00E87B8A"/>
    <w:rsid w:val="00E87BD4"/>
    <w:rsid w:val="00E904F3"/>
    <w:rsid w:val="00E92C33"/>
    <w:rsid w:val="00E97C06"/>
    <w:rsid w:val="00EA27F9"/>
    <w:rsid w:val="00EA3A93"/>
    <w:rsid w:val="00EA4450"/>
    <w:rsid w:val="00EB32A7"/>
    <w:rsid w:val="00EB78FE"/>
    <w:rsid w:val="00ED04B5"/>
    <w:rsid w:val="00ED2D54"/>
    <w:rsid w:val="00ED62D1"/>
    <w:rsid w:val="00EF0520"/>
    <w:rsid w:val="00F00CA2"/>
    <w:rsid w:val="00F34029"/>
    <w:rsid w:val="00F435B5"/>
    <w:rsid w:val="00F507F5"/>
    <w:rsid w:val="00F50C6D"/>
    <w:rsid w:val="00F66E2F"/>
    <w:rsid w:val="00F7592C"/>
    <w:rsid w:val="00F76C97"/>
    <w:rsid w:val="00F7700C"/>
    <w:rsid w:val="00F7730A"/>
    <w:rsid w:val="00F82373"/>
    <w:rsid w:val="00F8297F"/>
    <w:rsid w:val="00F831D8"/>
    <w:rsid w:val="00F83484"/>
    <w:rsid w:val="00F93EF0"/>
    <w:rsid w:val="00F962E1"/>
    <w:rsid w:val="00FA20EC"/>
    <w:rsid w:val="00FB1472"/>
    <w:rsid w:val="00FC103A"/>
    <w:rsid w:val="00FC24EC"/>
    <w:rsid w:val="00FC414C"/>
    <w:rsid w:val="00FC61BA"/>
    <w:rsid w:val="00FD0F0A"/>
    <w:rsid w:val="00FD3865"/>
    <w:rsid w:val="00FD393A"/>
    <w:rsid w:val="00FE4557"/>
    <w:rsid w:val="00FE4C48"/>
    <w:rsid w:val="01834423"/>
    <w:rsid w:val="018D22E1"/>
    <w:rsid w:val="019D1E78"/>
    <w:rsid w:val="01FD7E4B"/>
    <w:rsid w:val="02681163"/>
    <w:rsid w:val="02743DE2"/>
    <w:rsid w:val="02A255CF"/>
    <w:rsid w:val="04F876E8"/>
    <w:rsid w:val="05176E59"/>
    <w:rsid w:val="061C692E"/>
    <w:rsid w:val="064E5FFA"/>
    <w:rsid w:val="072210B7"/>
    <w:rsid w:val="078F08E6"/>
    <w:rsid w:val="079D5889"/>
    <w:rsid w:val="07C147C6"/>
    <w:rsid w:val="084B048A"/>
    <w:rsid w:val="084F3BC1"/>
    <w:rsid w:val="08662933"/>
    <w:rsid w:val="0911305E"/>
    <w:rsid w:val="093A7A77"/>
    <w:rsid w:val="09D47AB5"/>
    <w:rsid w:val="0AE36CDD"/>
    <w:rsid w:val="0B2A7348"/>
    <w:rsid w:val="0B4E021A"/>
    <w:rsid w:val="0BAC2C8F"/>
    <w:rsid w:val="0BD33679"/>
    <w:rsid w:val="0BEB6638"/>
    <w:rsid w:val="0BF05825"/>
    <w:rsid w:val="0CA32AED"/>
    <w:rsid w:val="0D3338EF"/>
    <w:rsid w:val="0D3516D8"/>
    <w:rsid w:val="0DCB05E4"/>
    <w:rsid w:val="0DCB3545"/>
    <w:rsid w:val="0E092C26"/>
    <w:rsid w:val="0E5719AC"/>
    <w:rsid w:val="0ED90618"/>
    <w:rsid w:val="10515C17"/>
    <w:rsid w:val="10631328"/>
    <w:rsid w:val="109D63FC"/>
    <w:rsid w:val="11AB585A"/>
    <w:rsid w:val="11E151EC"/>
    <w:rsid w:val="13CC673D"/>
    <w:rsid w:val="13E34020"/>
    <w:rsid w:val="14382AF5"/>
    <w:rsid w:val="149544A4"/>
    <w:rsid w:val="154F17FE"/>
    <w:rsid w:val="1610300A"/>
    <w:rsid w:val="165802DC"/>
    <w:rsid w:val="17330ABC"/>
    <w:rsid w:val="173D6E5E"/>
    <w:rsid w:val="17454BDC"/>
    <w:rsid w:val="178155D2"/>
    <w:rsid w:val="17982698"/>
    <w:rsid w:val="17A9019B"/>
    <w:rsid w:val="18DF73E8"/>
    <w:rsid w:val="19B108EA"/>
    <w:rsid w:val="19BD5804"/>
    <w:rsid w:val="1A1658ED"/>
    <w:rsid w:val="1A320B92"/>
    <w:rsid w:val="1A3B46AC"/>
    <w:rsid w:val="1A5C7310"/>
    <w:rsid w:val="1AB43490"/>
    <w:rsid w:val="1B4D3BD8"/>
    <w:rsid w:val="1B513EBB"/>
    <w:rsid w:val="1C1A2D90"/>
    <w:rsid w:val="1C3A0FB0"/>
    <w:rsid w:val="1CCC6230"/>
    <w:rsid w:val="1D28304E"/>
    <w:rsid w:val="1DA55D44"/>
    <w:rsid w:val="1DAB515A"/>
    <w:rsid w:val="1DE06110"/>
    <w:rsid w:val="1E117526"/>
    <w:rsid w:val="1E83119C"/>
    <w:rsid w:val="1ECB1EBD"/>
    <w:rsid w:val="1F7F2C0A"/>
    <w:rsid w:val="1F8832D3"/>
    <w:rsid w:val="1FB1751D"/>
    <w:rsid w:val="1FC4484B"/>
    <w:rsid w:val="20201EC2"/>
    <w:rsid w:val="20B56ABB"/>
    <w:rsid w:val="20D06261"/>
    <w:rsid w:val="213A1B76"/>
    <w:rsid w:val="213B2CD5"/>
    <w:rsid w:val="21EE663B"/>
    <w:rsid w:val="2251004F"/>
    <w:rsid w:val="226466B1"/>
    <w:rsid w:val="22E06A62"/>
    <w:rsid w:val="23386898"/>
    <w:rsid w:val="233E4C51"/>
    <w:rsid w:val="24AE27A9"/>
    <w:rsid w:val="259F09CC"/>
    <w:rsid w:val="25DB2266"/>
    <w:rsid w:val="27087C5F"/>
    <w:rsid w:val="270E11CB"/>
    <w:rsid w:val="27E50111"/>
    <w:rsid w:val="28ED188F"/>
    <w:rsid w:val="293B3E65"/>
    <w:rsid w:val="296343E4"/>
    <w:rsid w:val="29C83860"/>
    <w:rsid w:val="2A0B6F8A"/>
    <w:rsid w:val="2A1A4970"/>
    <w:rsid w:val="2B35340D"/>
    <w:rsid w:val="2B727C26"/>
    <w:rsid w:val="2BD8717A"/>
    <w:rsid w:val="2D765143"/>
    <w:rsid w:val="2DBD71BB"/>
    <w:rsid w:val="2DBE7952"/>
    <w:rsid w:val="2EC62080"/>
    <w:rsid w:val="2ECE4FDA"/>
    <w:rsid w:val="2ED36EE3"/>
    <w:rsid w:val="2F3569C2"/>
    <w:rsid w:val="2F8C1ED1"/>
    <w:rsid w:val="2FE6448A"/>
    <w:rsid w:val="311F46DC"/>
    <w:rsid w:val="31EC2AA8"/>
    <w:rsid w:val="33B64D72"/>
    <w:rsid w:val="34241BD4"/>
    <w:rsid w:val="348D1F43"/>
    <w:rsid w:val="352E7CE7"/>
    <w:rsid w:val="35565314"/>
    <w:rsid w:val="370F216E"/>
    <w:rsid w:val="3710324E"/>
    <w:rsid w:val="3720250A"/>
    <w:rsid w:val="37C76E81"/>
    <w:rsid w:val="39260D0B"/>
    <w:rsid w:val="39340367"/>
    <w:rsid w:val="39545ACE"/>
    <w:rsid w:val="3A0A3CDA"/>
    <w:rsid w:val="3A0F7763"/>
    <w:rsid w:val="3A6422E4"/>
    <w:rsid w:val="3AFC24AF"/>
    <w:rsid w:val="3B867F7D"/>
    <w:rsid w:val="3B8A781E"/>
    <w:rsid w:val="3BA92612"/>
    <w:rsid w:val="3C3D7F7A"/>
    <w:rsid w:val="3D54720B"/>
    <w:rsid w:val="3D5A0AB6"/>
    <w:rsid w:val="3EC62634"/>
    <w:rsid w:val="3F122481"/>
    <w:rsid w:val="3F99601A"/>
    <w:rsid w:val="3FD85E5F"/>
    <w:rsid w:val="40436823"/>
    <w:rsid w:val="4046132B"/>
    <w:rsid w:val="40885F49"/>
    <w:rsid w:val="409C0758"/>
    <w:rsid w:val="40C739F3"/>
    <w:rsid w:val="413A561B"/>
    <w:rsid w:val="41672795"/>
    <w:rsid w:val="41FE1AD4"/>
    <w:rsid w:val="43EB35FB"/>
    <w:rsid w:val="45991206"/>
    <w:rsid w:val="45EA0B99"/>
    <w:rsid w:val="466008B6"/>
    <w:rsid w:val="46C40041"/>
    <w:rsid w:val="46F16118"/>
    <w:rsid w:val="4709033C"/>
    <w:rsid w:val="47267D70"/>
    <w:rsid w:val="473118CF"/>
    <w:rsid w:val="47BD2EBF"/>
    <w:rsid w:val="483F56E5"/>
    <w:rsid w:val="48614D4D"/>
    <w:rsid w:val="49326458"/>
    <w:rsid w:val="49340FF6"/>
    <w:rsid w:val="4A5D7BD7"/>
    <w:rsid w:val="4B137364"/>
    <w:rsid w:val="4B1B2ECF"/>
    <w:rsid w:val="4C4F4993"/>
    <w:rsid w:val="4CE950BA"/>
    <w:rsid w:val="4D5C793F"/>
    <w:rsid w:val="4DA4017C"/>
    <w:rsid w:val="4DC45D22"/>
    <w:rsid w:val="4E2F07EB"/>
    <w:rsid w:val="4F3A6B88"/>
    <w:rsid w:val="4F981115"/>
    <w:rsid w:val="505F1250"/>
    <w:rsid w:val="50842C69"/>
    <w:rsid w:val="52DA6711"/>
    <w:rsid w:val="53C71B74"/>
    <w:rsid w:val="547658B9"/>
    <w:rsid w:val="55065290"/>
    <w:rsid w:val="55594392"/>
    <w:rsid w:val="55BA45EA"/>
    <w:rsid w:val="55C63470"/>
    <w:rsid w:val="55D242D5"/>
    <w:rsid w:val="561450A1"/>
    <w:rsid w:val="56483EE4"/>
    <w:rsid w:val="56921EF6"/>
    <w:rsid w:val="56F046D1"/>
    <w:rsid w:val="577F481A"/>
    <w:rsid w:val="5785402A"/>
    <w:rsid w:val="57BD37BC"/>
    <w:rsid w:val="58565419"/>
    <w:rsid w:val="59467D9F"/>
    <w:rsid w:val="59614E4E"/>
    <w:rsid w:val="59CC2D88"/>
    <w:rsid w:val="5AA86531"/>
    <w:rsid w:val="5ABE2FC1"/>
    <w:rsid w:val="5B0C6070"/>
    <w:rsid w:val="5B2D07A3"/>
    <w:rsid w:val="5D3F3829"/>
    <w:rsid w:val="5DBB3EF4"/>
    <w:rsid w:val="5E1A672C"/>
    <w:rsid w:val="5E9856F8"/>
    <w:rsid w:val="5ED452B9"/>
    <w:rsid w:val="603607E4"/>
    <w:rsid w:val="61EB6AF8"/>
    <w:rsid w:val="622B684B"/>
    <w:rsid w:val="62423FAF"/>
    <w:rsid w:val="62A12888"/>
    <w:rsid w:val="63397A83"/>
    <w:rsid w:val="647A197B"/>
    <w:rsid w:val="648E34A6"/>
    <w:rsid w:val="65355189"/>
    <w:rsid w:val="6537031E"/>
    <w:rsid w:val="65C729EC"/>
    <w:rsid w:val="66C06B20"/>
    <w:rsid w:val="66F132CF"/>
    <w:rsid w:val="66F65410"/>
    <w:rsid w:val="681F71A3"/>
    <w:rsid w:val="68231C2E"/>
    <w:rsid w:val="68A8772C"/>
    <w:rsid w:val="68FA0798"/>
    <w:rsid w:val="695C44F9"/>
    <w:rsid w:val="69B0370A"/>
    <w:rsid w:val="6AC65098"/>
    <w:rsid w:val="6AF42BC1"/>
    <w:rsid w:val="6B0E4BB1"/>
    <w:rsid w:val="6B3339DE"/>
    <w:rsid w:val="6BA63E2B"/>
    <w:rsid w:val="6BB8600B"/>
    <w:rsid w:val="6C0C1208"/>
    <w:rsid w:val="6C5C4853"/>
    <w:rsid w:val="6C793B02"/>
    <w:rsid w:val="6D2947A3"/>
    <w:rsid w:val="6DE446DA"/>
    <w:rsid w:val="6EAF61BF"/>
    <w:rsid w:val="6EC40305"/>
    <w:rsid w:val="6F2268CB"/>
    <w:rsid w:val="6F61487B"/>
    <w:rsid w:val="6FE638BB"/>
    <w:rsid w:val="6FF0400E"/>
    <w:rsid w:val="70223899"/>
    <w:rsid w:val="70AE12EA"/>
    <w:rsid w:val="70FA495C"/>
    <w:rsid w:val="712B2CEC"/>
    <w:rsid w:val="713B3C0B"/>
    <w:rsid w:val="718051B8"/>
    <w:rsid w:val="71A77D39"/>
    <w:rsid w:val="71FF0D58"/>
    <w:rsid w:val="72AB7712"/>
    <w:rsid w:val="730E0FC5"/>
    <w:rsid w:val="7449509F"/>
    <w:rsid w:val="74766074"/>
    <w:rsid w:val="74AB04FE"/>
    <w:rsid w:val="755043BD"/>
    <w:rsid w:val="75D10F6B"/>
    <w:rsid w:val="75FC7DBD"/>
    <w:rsid w:val="760201C3"/>
    <w:rsid w:val="76723404"/>
    <w:rsid w:val="76D56984"/>
    <w:rsid w:val="76F04625"/>
    <w:rsid w:val="772D73B2"/>
    <w:rsid w:val="779F295C"/>
    <w:rsid w:val="78890534"/>
    <w:rsid w:val="78C27BEC"/>
    <w:rsid w:val="79C90BD2"/>
    <w:rsid w:val="7A941506"/>
    <w:rsid w:val="7CCB152C"/>
    <w:rsid w:val="7D14035D"/>
    <w:rsid w:val="7DD07C64"/>
    <w:rsid w:val="7DE0193B"/>
    <w:rsid w:val="7E3353E7"/>
    <w:rsid w:val="7E6D5D44"/>
    <w:rsid w:val="7EA247F0"/>
  </w:rsids>
  <m:mathPr>
    <m:mathFont m:val="Cambria Math"/>
    <m:brkBin m:val="before"/>
    <m:brkBinSub m:val="--"/>
    <m:smallFrac m:val="1"/>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sz w:val="22"/>
      <w:szCs w:val="22"/>
      <w:lang w:val="en-US" w:eastAsia="en-US" w:bidi="ar-SA"/>
    </w:rPr>
  </w:style>
  <w:style w:type="paragraph" w:styleId="2">
    <w:name w:val="heading 1"/>
    <w:basedOn w:val="1"/>
    <w:next w:val="1"/>
    <w:link w:val="28"/>
    <w:qFormat/>
    <w:uiPriority w:val="9"/>
    <w:pPr>
      <w:spacing w:before="120" w:after="120" w:line="240" w:lineRule="auto"/>
      <w:jc w:val="both"/>
      <w:outlineLvl w:val="0"/>
    </w:pPr>
    <w:rPr>
      <w:rFonts w:eastAsia="Times New Roman" w:cs="Times New Roman" w:asciiTheme="minorHAnsi" w:hAnsiTheme="minorHAnsi"/>
      <w:b/>
      <w:bCs/>
      <w:sz w:val="28"/>
      <w:szCs w:val="28"/>
      <w:lang w:val="es-ES"/>
    </w:rPr>
  </w:style>
  <w:style w:type="paragraph" w:styleId="3">
    <w:name w:val="heading 2"/>
    <w:basedOn w:val="1"/>
    <w:next w:val="1"/>
    <w:link w:val="42"/>
    <w:unhideWhenUsed/>
    <w:qFormat/>
    <w:uiPriority w:val="9"/>
    <w:pPr>
      <w:spacing w:before="240"/>
      <w:outlineLvl w:val="1"/>
    </w:pPr>
    <w:rPr>
      <w:sz w:val="24"/>
    </w:rPr>
  </w:style>
  <w:style w:type="paragraph" w:styleId="4">
    <w:name w:val="heading 3"/>
    <w:basedOn w:val="1"/>
    <w:link w:val="46"/>
    <w:unhideWhenUsed/>
    <w:qFormat/>
    <w:uiPriority w:val="9"/>
    <w:pPr>
      <w:outlineLvl w:val="2"/>
    </w:pPr>
  </w:style>
  <w:style w:type="paragraph" w:styleId="5">
    <w:name w:val="heading 4"/>
    <w:basedOn w:val="1"/>
    <w:next w:val="1"/>
    <w:link w:val="33"/>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rPr>
  </w:style>
  <w:style w:type="paragraph" w:styleId="6">
    <w:name w:val="heading 5"/>
    <w:next w:val="1"/>
    <w:unhideWhenUsed/>
    <w:qFormat/>
    <w:uiPriority w:val="9"/>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27"/>
    <w:semiHidden/>
    <w:unhideWhenUsed/>
    <w:qFormat/>
    <w:uiPriority w:val="99"/>
    <w:pPr>
      <w:spacing w:after="0" w:line="240" w:lineRule="auto"/>
    </w:pPr>
    <w:rPr>
      <w:rFonts w:ascii="Tahoma" w:hAnsi="Tahoma" w:cs="Tahoma"/>
      <w:sz w:val="16"/>
      <w:szCs w:val="16"/>
    </w:rPr>
  </w:style>
  <w:style w:type="paragraph" w:styleId="10">
    <w:name w:val="Body Text"/>
    <w:basedOn w:val="1"/>
    <w:link w:val="34"/>
    <w:qFormat/>
    <w:uiPriority w:val="1"/>
    <w:pPr>
      <w:widowControl w:val="0"/>
      <w:autoSpaceDE w:val="0"/>
      <w:autoSpaceDN w:val="0"/>
      <w:spacing w:after="0" w:line="240" w:lineRule="auto"/>
      <w:ind w:left="255"/>
      <w:jc w:val="both"/>
    </w:pPr>
    <w:rPr>
      <w:rFonts w:ascii="Times New Roman" w:hAnsi="Times New Roman" w:eastAsia="Times New Roman" w:cs="Times New Roman"/>
      <w:sz w:val="24"/>
      <w:szCs w:val="24"/>
      <w:lang w:val="es-ES"/>
    </w:rPr>
  </w:style>
  <w:style w:type="paragraph" w:styleId="11">
    <w:name w:val="caption"/>
    <w:basedOn w:val="1"/>
    <w:next w:val="1"/>
    <w:semiHidden/>
    <w:unhideWhenUsed/>
    <w:qFormat/>
    <w:uiPriority w:val="35"/>
    <w:pPr>
      <w:spacing w:after="200" w:line="240" w:lineRule="auto"/>
    </w:pPr>
    <w:rPr>
      <w:i/>
      <w:iCs/>
      <w:color w:val="1F497D" w:themeColor="text2"/>
      <w:sz w:val="18"/>
      <w:szCs w:val="18"/>
      <w14:textFill>
        <w14:solidFill>
          <w14:schemeClr w14:val="tx2"/>
        </w14:solidFill>
      </w14:textFill>
    </w:rPr>
  </w:style>
  <w:style w:type="character" w:styleId="12">
    <w:name w:val="annotation reference"/>
    <w:basedOn w:val="7"/>
    <w:semiHidden/>
    <w:unhideWhenUsed/>
    <w:qFormat/>
    <w:uiPriority w:val="99"/>
    <w:rPr>
      <w:sz w:val="16"/>
      <w:szCs w:val="16"/>
    </w:rPr>
  </w:style>
  <w:style w:type="paragraph" w:styleId="13">
    <w:name w:val="annotation text"/>
    <w:basedOn w:val="1"/>
    <w:link w:val="25"/>
    <w:semiHidden/>
    <w:unhideWhenUsed/>
    <w:qFormat/>
    <w:uiPriority w:val="99"/>
    <w:pPr>
      <w:spacing w:line="240" w:lineRule="auto"/>
    </w:pPr>
    <w:rPr>
      <w:sz w:val="20"/>
      <w:szCs w:val="20"/>
    </w:rPr>
  </w:style>
  <w:style w:type="paragraph" w:styleId="14">
    <w:name w:val="annotation subject"/>
    <w:basedOn w:val="13"/>
    <w:next w:val="13"/>
    <w:link w:val="26"/>
    <w:semiHidden/>
    <w:unhideWhenUsed/>
    <w:qFormat/>
    <w:uiPriority w:val="99"/>
    <w:rPr>
      <w:b/>
      <w:bCs/>
    </w:rPr>
  </w:style>
  <w:style w:type="character" w:styleId="15">
    <w:name w:val="Emphasis"/>
    <w:basedOn w:val="7"/>
    <w:qFormat/>
    <w:uiPriority w:val="20"/>
    <w:rPr>
      <w:i/>
      <w:iCs/>
    </w:rPr>
  </w:style>
  <w:style w:type="paragraph" w:styleId="16">
    <w:name w:val="footer"/>
    <w:basedOn w:val="1"/>
    <w:link w:val="31"/>
    <w:unhideWhenUsed/>
    <w:qFormat/>
    <w:uiPriority w:val="99"/>
    <w:pPr>
      <w:tabs>
        <w:tab w:val="center" w:pos="4419"/>
        <w:tab w:val="right" w:pos="8838"/>
      </w:tabs>
      <w:spacing w:after="0" w:line="240" w:lineRule="auto"/>
    </w:pPr>
  </w:style>
  <w:style w:type="paragraph" w:styleId="17">
    <w:name w:val="header"/>
    <w:basedOn w:val="1"/>
    <w:link w:val="30"/>
    <w:unhideWhenUsed/>
    <w:qFormat/>
    <w:uiPriority w:val="99"/>
    <w:pPr>
      <w:tabs>
        <w:tab w:val="center" w:pos="4419"/>
        <w:tab w:val="right" w:pos="8838"/>
      </w:tabs>
      <w:spacing w:after="0" w:line="240" w:lineRule="auto"/>
    </w:pPr>
  </w:style>
  <w:style w:type="character" w:styleId="18">
    <w:name w:val="Hyperlink"/>
    <w:basedOn w:val="7"/>
    <w:qFormat/>
    <w:uiPriority w:val="99"/>
    <w:rPr>
      <w:color w:val="0563C1"/>
      <w:u w:val="single"/>
    </w:rPr>
  </w:style>
  <w:style w:type="paragraph" w:styleId="1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s-VE" w:eastAsia="es-VE"/>
    </w:rPr>
  </w:style>
  <w:style w:type="character" w:styleId="20">
    <w:name w:val="page number"/>
    <w:basedOn w:val="7"/>
    <w:unhideWhenUsed/>
    <w:qFormat/>
    <w:uiPriority w:val="99"/>
  </w:style>
  <w:style w:type="character" w:styleId="21">
    <w:name w:val="Strong"/>
    <w:basedOn w:val="7"/>
    <w:qFormat/>
    <w:uiPriority w:val="22"/>
    <w:rPr>
      <w:b/>
      <w:bCs/>
    </w:rPr>
  </w:style>
  <w:style w:type="paragraph" w:styleId="22">
    <w:name w:val="Subtitle"/>
    <w:basedOn w:val="1"/>
    <w:next w:val="1"/>
    <w:link w:val="36"/>
    <w:qFormat/>
    <w:uiPriority w:val="11"/>
    <w:pPr>
      <w:spacing w:before="120" w:after="60" w:line="240" w:lineRule="auto"/>
    </w:pPr>
    <w:rPr>
      <w:rFonts w:cs="Times New Roman" w:asciiTheme="minorHAnsi" w:hAnsiTheme="minorHAnsi"/>
      <w:b/>
      <w:i/>
      <w:szCs w:val="24"/>
      <w:lang w:val="es-ES"/>
    </w:rPr>
  </w:style>
  <w:style w:type="table" w:styleId="23">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itle"/>
    <w:basedOn w:val="2"/>
    <w:next w:val="1"/>
    <w:link w:val="35"/>
    <w:qFormat/>
    <w:uiPriority w:val="10"/>
    <w:rPr>
      <w:rFonts w:ascii="Times New Roman" w:hAnsi="Times New Roman"/>
      <w:b w:val="0"/>
      <w:bCs w:val="0"/>
    </w:rPr>
  </w:style>
  <w:style w:type="character" w:customStyle="1" w:styleId="25">
    <w:name w:val="Texto comentario Car"/>
    <w:basedOn w:val="7"/>
    <w:link w:val="13"/>
    <w:semiHidden/>
    <w:qFormat/>
    <w:uiPriority w:val="99"/>
    <w:rPr>
      <w:sz w:val="20"/>
      <w:szCs w:val="20"/>
    </w:rPr>
  </w:style>
  <w:style w:type="character" w:customStyle="1" w:styleId="26">
    <w:name w:val="Asunto del comentario Car"/>
    <w:basedOn w:val="25"/>
    <w:link w:val="14"/>
    <w:semiHidden/>
    <w:qFormat/>
    <w:uiPriority w:val="99"/>
    <w:rPr>
      <w:b/>
      <w:bCs/>
      <w:sz w:val="20"/>
      <w:szCs w:val="20"/>
    </w:rPr>
  </w:style>
  <w:style w:type="character" w:customStyle="1" w:styleId="27">
    <w:name w:val="Texto de globo Car"/>
    <w:basedOn w:val="7"/>
    <w:link w:val="9"/>
    <w:semiHidden/>
    <w:qFormat/>
    <w:uiPriority w:val="99"/>
    <w:rPr>
      <w:rFonts w:ascii="Tahoma" w:hAnsi="Tahoma" w:cs="Tahoma"/>
      <w:sz w:val="16"/>
      <w:szCs w:val="16"/>
    </w:rPr>
  </w:style>
  <w:style w:type="character" w:customStyle="1" w:styleId="28">
    <w:name w:val="Título 1 Car"/>
    <w:basedOn w:val="7"/>
    <w:link w:val="2"/>
    <w:qFormat/>
    <w:uiPriority w:val="9"/>
    <w:rPr>
      <w:rFonts w:eastAsia="Times New Roman" w:cs="Times New Roman" w:asciiTheme="minorHAnsi" w:hAnsiTheme="minorHAnsi"/>
      <w:b/>
      <w:bCs/>
      <w:sz w:val="28"/>
      <w:szCs w:val="28"/>
      <w:lang w:val="es-ES"/>
    </w:rPr>
  </w:style>
  <w:style w:type="character" w:customStyle="1" w:styleId="29">
    <w:name w:val="Mención sin resolver1"/>
    <w:basedOn w:val="7"/>
    <w:semiHidden/>
    <w:unhideWhenUsed/>
    <w:qFormat/>
    <w:uiPriority w:val="99"/>
    <w:rPr>
      <w:color w:val="605E5C"/>
      <w:shd w:val="clear" w:color="auto" w:fill="E1DFDD"/>
    </w:rPr>
  </w:style>
  <w:style w:type="character" w:customStyle="1" w:styleId="30">
    <w:name w:val="Encabezado Car"/>
    <w:basedOn w:val="7"/>
    <w:link w:val="17"/>
    <w:qFormat/>
    <w:uiPriority w:val="99"/>
  </w:style>
  <w:style w:type="character" w:customStyle="1" w:styleId="31">
    <w:name w:val="Pie de página Car"/>
    <w:basedOn w:val="7"/>
    <w:link w:val="16"/>
    <w:qFormat/>
    <w:uiPriority w:val="99"/>
  </w:style>
  <w:style w:type="paragraph" w:styleId="32">
    <w:name w:val="List Paragraph"/>
    <w:basedOn w:val="1"/>
    <w:qFormat/>
    <w:uiPriority w:val="34"/>
    <w:pPr>
      <w:ind w:left="720"/>
      <w:contextualSpacing/>
    </w:pPr>
  </w:style>
  <w:style w:type="character" w:customStyle="1" w:styleId="33">
    <w:name w:val="Título 4 Car"/>
    <w:basedOn w:val="7"/>
    <w:link w:val="5"/>
    <w:qFormat/>
    <w:uiPriority w:val="9"/>
    <w:rPr>
      <w:rFonts w:asciiTheme="majorHAnsi" w:hAnsiTheme="majorHAnsi" w:eastAsiaTheme="majorEastAsia" w:cstheme="majorBidi"/>
      <w:i/>
      <w:iCs/>
      <w:color w:val="376092" w:themeColor="accent1" w:themeShade="BF"/>
    </w:rPr>
  </w:style>
  <w:style w:type="character" w:customStyle="1" w:styleId="34">
    <w:name w:val="Texto independiente Car"/>
    <w:basedOn w:val="7"/>
    <w:link w:val="10"/>
    <w:qFormat/>
    <w:uiPriority w:val="1"/>
    <w:rPr>
      <w:rFonts w:ascii="Times New Roman" w:hAnsi="Times New Roman" w:eastAsia="Times New Roman" w:cs="Times New Roman"/>
      <w:sz w:val="24"/>
      <w:szCs w:val="24"/>
      <w:lang w:val="es-ES"/>
    </w:rPr>
  </w:style>
  <w:style w:type="character" w:customStyle="1" w:styleId="35">
    <w:name w:val="Título Car"/>
    <w:basedOn w:val="7"/>
    <w:link w:val="24"/>
    <w:qFormat/>
    <w:uiPriority w:val="10"/>
    <w:rPr>
      <w:rFonts w:ascii="Times New Roman" w:hAnsi="Times New Roman" w:eastAsia="Times New Roman" w:cs="Times New Roman"/>
      <w:b/>
      <w:bCs/>
      <w:sz w:val="32"/>
      <w:szCs w:val="32"/>
      <w:lang w:val="es-ES"/>
    </w:rPr>
  </w:style>
  <w:style w:type="character" w:customStyle="1" w:styleId="36">
    <w:name w:val="Subtítulo Car"/>
    <w:basedOn w:val="7"/>
    <w:link w:val="22"/>
    <w:qFormat/>
    <w:uiPriority w:val="11"/>
    <w:rPr>
      <w:rFonts w:cs="Times New Roman" w:asciiTheme="minorHAnsi" w:hAnsiTheme="minorHAnsi"/>
      <w:b/>
      <w:i/>
      <w:szCs w:val="24"/>
      <w:lang w:val="es-ES"/>
    </w:rPr>
  </w:style>
  <w:style w:type="paragraph" w:customStyle="1" w:styleId="37">
    <w:name w:val="Autores"/>
    <w:basedOn w:val="1"/>
    <w:link w:val="38"/>
    <w:qFormat/>
    <w:uiPriority w:val="0"/>
    <w:pPr>
      <w:spacing w:after="0" w:line="240" w:lineRule="auto"/>
      <w:ind w:left="-113"/>
    </w:pPr>
    <w:rPr>
      <w:rFonts w:ascii="Times New Roman" w:hAnsi="Times New Roman" w:cs="Times New Roman"/>
      <w:b/>
      <w:sz w:val="24"/>
      <w:szCs w:val="24"/>
    </w:rPr>
  </w:style>
  <w:style w:type="character" w:customStyle="1" w:styleId="38">
    <w:name w:val="Autores Car"/>
    <w:basedOn w:val="7"/>
    <w:link w:val="37"/>
    <w:qFormat/>
    <w:uiPriority w:val="0"/>
    <w:rPr>
      <w:rFonts w:ascii="Times New Roman" w:hAnsi="Times New Roman" w:cs="Times New Roman"/>
      <w:b/>
      <w:sz w:val="24"/>
      <w:szCs w:val="24"/>
    </w:rPr>
  </w:style>
  <w:style w:type="paragraph" w:customStyle="1" w:styleId="39">
    <w:name w:val="Resumen_TX"/>
    <w:basedOn w:val="1"/>
    <w:link w:val="41"/>
    <w:qFormat/>
    <w:uiPriority w:val="0"/>
    <w:pPr>
      <w:spacing w:before="120" w:after="120" w:line="240" w:lineRule="auto"/>
      <w:jc w:val="both"/>
    </w:pPr>
    <w:rPr>
      <w:rFonts w:cs="Times New Roman" w:asciiTheme="minorHAnsi" w:hAnsiTheme="minorHAnsi"/>
      <w:sz w:val="18"/>
      <w:szCs w:val="20"/>
      <w:lang w:val="es-ES"/>
    </w:rPr>
  </w:style>
  <w:style w:type="paragraph" w:customStyle="1" w:styleId="40">
    <w:name w:val="Filiacion"/>
    <w:basedOn w:val="1"/>
    <w:link w:val="43"/>
    <w:qFormat/>
    <w:uiPriority w:val="0"/>
    <w:pPr>
      <w:widowControl w:val="0"/>
      <w:numPr>
        <w:ilvl w:val="0"/>
        <w:numId w:val="1"/>
      </w:numPr>
      <w:pBdr>
        <w:bottom w:val="single" w:color="auto" w:sz="12" w:space="1"/>
      </w:pBdr>
      <w:tabs>
        <w:tab w:val="left" w:pos="471"/>
      </w:tabs>
      <w:autoSpaceDE w:val="0"/>
      <w:autoSpaceDN w:val="0"/>
      <w:spacing w:before="60" w:after="60" w:line="240" w:lineRule="auto"/>
      <w:ind w:left="215"/>
    </w:pPr>
    <w:rPr>
      <w:rFonts w:eastAsia="Times New Roman" w:cs="Times New Roman" w:asciiTheme="minorHAnsi" w:hAnsiTheme="minorHAnsi"/>
      <w:sz w:val="16"/>
      <w:lang w:val="es-ES"/>
    </w:rPr>
  </w:style>
  <w:style w:type="character" w:customStyle="1" w:styleId="41">
    <w:name w:val="Resumen_TX Car"/>
    <w:basedOn w:val="7"/>
    <w:link w:val="39"/>
    <w:qFormat/>
    <w:uiPriority w:val="0"/>
    <w:rPr>
      <w:rFonts w:cs="Times New Roman" w:asciiTheme="minorHAnsi" w:hAnsiTheme="minorHAnsi"/>
      <w:sz w:val="18"/>
      <w:szCs w:val="20"/>
      <w:lang w:val="es-ES"/>
    </w:rPr>
  </w:style>
  <w:style w:type="character" w:customStyle="1" w:styleId="42">
    <w:name w:val="Título 2 Car"/>
    <w:basedOn w:val="7"/>
    <w:link w:val="3"/>
    <w:qFormat/>
    <w:uiPriority w:val="9"/>
    <w:rPr>
      <w:rFonts w:eastAsia="Times New Roman" w:cs="Times New Roman" w:asciiTheme="minorHAnsi" w:hAnsiTheme="minorHAnsi"/>
      <w:b/>
      <w:bCs/>
      <w:sz w:val="24"/>
      <w:szCs w:val="28"/>
      <w:lang w:val="es-ES"/>
    </w:rPr>
  </w:style>
  <w:style w:type="character" w:customStyle="1" w:styleId="43">
    <w:name w:val="Filiacion Car"/>
    <w:basedOn w:val="7"/>
    <w:link w:val="40"/>
    <w:qFormat/>
    <w:uiPriority w:val="0"/>
    <w:rPr>
      <w:rFonts w:eastAsia="Times New Roman" w:cs="Times New Roman" w:asciiTheme="minorHAnsi" w:hAnsiTheme="minorHAnsi"/>
      <w:sz w:val="16"/>
      <w:lang w:val="es-ES"/>
    </w:rPr>
  </w:style>
  <w:style w:type="paragraph" w:customStyle="1" w:styleId="44">
    <w:name w:val="Referencias"/>
    <w:basedOn w:val="1"/>
    <w:link w:val="45"/>
    <w:qFormat/>
    <w:uiPriority w:val="0"/>
    <w:pPr>
      <w:spacing w:before="60" w:after="60" w:line="240" w:lineRule="auto"/>
      <w:ind w:left="720" w:hanging="720"/>
      <w:jc w:val="both"/>
    </w:pPr>
    <w:rPr>
      <w:rFonts w:cs="Times New Roman" w:asciiTheme="minorHAnsi" w:hAnsiTheme="minorHAnsi"/>
      <w:szCs w:val="24"/>
      <w:lang w:val="es-ES"/>
    </w:rPr>
  </w:style>
  <w:style w:type="character" w:customStyle="1" w:styleId="45">
    <w:name w:val="Referencias Car"/>
    <w:basedOn w:val="7"/>
    <w:link w:val="44"/>
    <w:qFormat/>
    <w:uiPriority w:val="0"/>
    <w:rPr>
      <w:rFonts w:cs="Times New Roman" w:asciiTheme="minorHAnsi" w:hAnsiTheme="minorHAnsi"/>
      <w:szCs w:val="24"/>
      <w:lang w:val="es-ES"/>
    </w:rPr>
  </w:style>
  <w:style w:type="character" w:customStyle="1" w:styleId="46">
    <w:name w:val="Título 3 Car"/>
    <w:basedOn w:val="7"/>
    <w:link w:val="4"/>
    <w:qFormat/>
    <w:uiPriority w:val="9"/>
    <w:rPr>
      <w:rFonts w:cs="Times New Roman" w:asciiTheme="minorHAnsi" w:hAnsiTheme="minorHAnsi"/>
      <w:b/>
      <w:i/>
      <w:szCs w:val="24"/>
      <w:lang w:val="es-ES"/>
    </w:rPr>
  </w:style>
  <w:style w:type="table" w:customStyle="1" w:styleId="47">
    <w:name w:val="Tabla de lista 1 clara - Énfasis 31"/>
    <w:basedOn w:val="8"/>
    <w:qFormat/>
    <w:uiPriority w:val="46"/>
    <w:tblStylePr w:type="firstRow">
      <w:rPr>
        <w:b/>
        <w:bCs/>
      </w:rPr>
      <w:tcPr>
        <w:tcBorders>
          <w:bottom w:val="single" w:color="C2D69B" w:themeColor="accent3" w:themeTint="99" w:sz="4" w:space="0"/>
        </w:tcBorders>
      </w:tcPr>
    </w:tblStylePr>
    <w:tblStylePr w:type="lastRow">
      <w:rPr>
        <w:b/>
        <w:bCs/>
      </w:rPr>
      <w:tcPr>
        <w:tcBorders>
          <w:top w:val="sing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48">
    <w:name w:val="Tabla de lista 2 - Énfasis 31"/>
    <w:basedOn w:val="8"/>
    <w:qFormat/>
    <w:uiPriority w:val="47"/>
    <w:tblPr>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49">
    <w:name w:val="Tabla de lista 2 - Énfasis 51"/>
    <w:basedOn w:val="8"/>
    <w:qFormat/>
    <w:uiPriority w:val="47"/>
    <w:tblPr>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paragraph" w:customStyle="1" w:styleId="50">
    <w:name w:val="Normal Sangría"/>
    <w:basedOn w:val="1"/>
    <w:link w:val="51"/>
    <w:qFormat/>
    <w:uiPriority w:val="0"/>
    <w:pPr>
      <w:spacing w:line="480" w:lineRule="auto"/>
      <w:ind w:firstLine="720"/>
      <w:jc w:val="both"/>
    </w:pPr>
    <w:rPr>
      <w:rFonts w:ascii="Times New Roman" w:hAnsi="Times New Roman" w:cs="Times New Roman" w:eastAsiaTheme="minorHAnsi"/>
      <w:kern w:val="2"/>
      <w:sz w:val="24"/>
      <w:szCs w:val="24"/>
      <w:lang w:val="es-PE"/>
      <w14:ligatures w14:val="standardContextual"/>
    </w:rPr>
  </w:style>
  <w:style w:type="character" w:customStyle="1" w:styleId="51">
    <w:name w:val="Normal Sangría Car"/>
    <w:basedOn w:val="7"/>
    <w:link w:val="50"/>
    <w:qFormat/>
    <w:uiPriority w:val="0"/>
    <w:rPr>
      <w:rFonts w:ascii="Times New Roman" w:hAnsi="Times New Roman" w:cs="Times New Roman" w:eastAsiaTheme="minorHAnsi"/>
      <w:kern w:val="2"/>
      <w:sz w:val="24"/>
      <w:szCs w:val="24"/>
      <w:lang w:val="es-PE"/>
      <w14:ligatures w14:val="standardContextual"/>
    </w:rPr>
  </w:style>
  <w:style w:type="paragraph" w:customStyle="1" w:styleId="52">
    <w:name w:val="Tablas"/>
    <w:basedOn w:val="11"/>
    <w:link w:val="53"/>
    <w:qFormat/>
    <w:uiPriority w:val="0"/>
    <w:pPr>
      <w:keepNext/>
      <w:jc w:val="center"/>
    </w:pPr>
    <w:rPr>
      <w:rFonts w:ascii="Times New Roman" w:hAnsi="Times New Roman" w:cs="Times New Roman" w:eastAsiaTheme="minorHAnsi"/>
      <w:kern w:val="2"/>
      <w:sz w:val="24"/>
      <w:lang w:val="es-PE"/>
      <w14:ligatures w14:val="standardContextual"/>
    </w:rPr>
  </w:style>
  <w:style w:type="character" w:customStyle="1" w:styleId="53">
    <w:name w:val="Tablas Car"/>
    <w:basedOn w:val="7"/>
    <w:link w:val="52"/>
    <w:qFormat/>
    <w:uiPriority w:val="0"/>
    <w:rPr>
      <w:rFonts w:ascii="Times New Roman" w:hAnsi="Times New Roman" w:cs="Times New Roman" w:eastAsiaTheme="minorHAnsi"/>
      <w:i/>
      <w:iCs/>
      <w:color w:val="1F497D" w:themeColor="text2"/>
      <w:kern w:val="2"/>
      <w:sz w:val="24"/>
      <w:szCs w:val="18"/>
      <w:lang w:val="es-PE"/>
      <w14:textFill>
        <w14:solidFill>
          <w14:schemeClr w14:val="tx2"/>
        </w14:solidFill>
      </w14:textFill>
      <w14:ligatures w14:val="standardContextual"/>
    </w:rPr>
  </w:style>
  <w:style w:type="paragraph" w:customStyle="1" w:styleId="54">
    <w:name w:val="Bibliografía1"/>
    <w:basedOn w:val="1"/>
    <w:next w:val="1"/>
    <w:unhideWhenUsed/>
    <w:qFormat/>
    <w:uiPriority w:val="37"/>
    <w:pPr>
      <w:spacing w:after="0" w:line="480" w:lineRule="auto"/>
      <w:ind w:left="720" w:hanging="720"/>
    </w:pPr>
  </w:style>
  <w:style w:type="paragraph" w:customStyle="1" w:styleId="55">
    <w:name w:val="Fuentes"/>
    <w:basedOn w:val="50"/>
    <w:link w:val="56"/>
    <w:qFormat/>
    <w:uiPriority w:val="0"/>
    <w:pPr>
      <w:spacing w:line="240" w:lineRule="atLeast"/>
      <w:ind w:firstLine="0"/>
      <w:jc w:val="center"/>
    </w:pPr>
    <w:rPr>
      <w:i/>
      <w:iCs/>
      <w:color w:val="1F497D" w:themeColor="text2"/>
      <w:szCs w:val="18"/>
      <w14:textFill>
        <w14:solidFill>
          <w14:schemeClr w14:val="tx2"/>
        </w14:solidFill>
      </w14:textFill>
    </w:rPr>
  </w:style>
  <w:style w:type="character" w:customStyle="1" w:styleId="56">
    <w:name w:val="Fuentes Car"/>
    <w:basedOn w:val="7"/>
    <w:link w:val="55"/>
    <w:qFormat/>
    <w:uiPriority w:val="0"/>
    <w:rPr>
      <w:rFonts w:ascii="Times New Roman" w:hAnsi="Times New Roman" w:cs="Times New Roman" w:eastAsiaTheme="minorHAnsi"/>
      <w:i/>
      <w:iCs/>
      <w:color w:val="1F497D" w:themeColor="text2"/>
      <w:kern w:val="2"/>
      <w:sz w:val="24"/>
      <w:szCs w:val="18"/>
      <w:lang w:val="es-PE"/>
      <w14:textFill>
        <w14:solidFill>
          <w14:schemeClr w14:val="tx2"/>
        </w14:solidFill>
      </w14:textFill>
      <w14:ligatures w14:val="standardContextual"/>
    </w:rPr>
  </w:style>
  <w:style w:type="paragraph" w:customStyle="1" w:styleId="57">
    <w:name w:val="Figuras"/>
    <w:basedOn w:val="11"/>
    <w:link w:val="58"/>
    <w:qFormat/>
    <w:uiPriority w:val="0"/>
    <w:pPr>
      <w:keepNext/>
      <w:jc w:val="center"/>
    </w:pPr>
    <w:rPr>
      <w:rFonts w:ascii="Times New Roman" w:hAnsi="Times New Roman" w:cs="Times New Roman" w:eastAsiaTheme="minorHAnsi"/>
      <w:kern w:val="2"/>
      <w:sz w:val="24"/>
      <w:lang w:val="es-PE"/>
      <w14:ligatures w14:val="standardContextual"/>
    </w:rPr>
  </w:style>
  <w:style w:type="character" w:customStyle="1" w:styleId="58">
    <w:name w:val="Figuras Car"/>
    <w:basedOn w:val="7"/>
    <w:link w:val="57"/>
    <w:qFormat/>
    <w:uiPriority w:val="0"/>
    <w:rPr>
      <w:rFonts w:ascii="Times New Roman" w:hAnsi="Times New Roman" w:cs="Times New Roman" w:eastAsiaTheme="minorHAnsi"/>
      <w:i/>
      <w:iCs/>
      <w:color w:val="1F497D" w:themeColor="text2"/>
      <w:kern w:val="2"/>
      <w:sz w:val="24"/>
      <w:szCs w:val="18"/>
      <w:lang w:val="es-PE"/>
      <w14:textFill>
        <w14:solidFill>
          <w14:schemeClr w14:val="tx2"/>
        </w14:solidFill>
      </w14:textFill>
      <w14:ligatures w14:val="standardContextual"/>
    </w:rPr>
  </w:style>
  <w:style w:type="character" w:customStyle="1" w:styleId="59">
    <w:name w:val="Mención sin resolver2"/>
    <w:basedOn w:val="7"/>
    <w:semiHidden/>
    <w:unhideWhenUsed/>
    <w:qFormat/>
    <w:uiPriority w:val="99"/>
    <w:rPr>
      <w:color w:val="605E5C"/>
      <w:shd w:val="clear" w:color="auto" w:fill="E1DFDD"/>
    </w:rPr>
  </w:style>
  <w:style w:type="paragraph" w:customStyle="1" w:styleId="60">
    <w:name w:val="Paragraph Text Style"/>
    <w:qFormat/>
    <w:uiPriority w:val="0"/>
    <w:pPr>
      <w:spacing w:before="144" w:after="72" w:line="276" w:lineRule="auto"/>
    </w:pPr>
    <w:rPr>
      <w:rFonts w:ascii="Segoe UI" w:hAnsi="Segoe UI" w:eastAsia="Segoe UI" w:cs="Segoe UI"/>
      <w:color w:val="000000"/>
      <w:sz w:val="26"/>
      <w:szCs w:val="26"/>
      <w:lang w:val="es-VE" w:eastAsia="es-VE" w:bidi="ar-SA"/>
    </w:rPr>
  </w:style>
  <w:style w:type="paragraph" w:customStyle="1" w:styleId="61">
    <w:name w:val="TABLAS"/>
    <w:basedOn w:val="1"/>
    <w:qFormat/>
    <w:uiPriority w:val="0"/>
    <w:pPr>
      <w:shd w:val="clear" w:color="auto" w:fill="FFFFFF"/>
      <w:jc w:val="both"/>
    </w:pPr>
    <w:rPr>
      <w:rFonts w:cs="Times New Roman"/>
      <w:spacing w:val="-3"/>
      <w:szCs w:val="24"/>
      <w:shd w:val="clear" w:color="auto" w:fill="FFFFFF"/>
    </w:rPr>
  </w:style>
  <w:style w:type="paragraph" w:customStyle="1" w:styleId="62">
    <w:name w:val="figura"/>
    <w:basedOn w:val="52"/>
    <w:qFormat/>
    <w:uiPriority w:val="0"/>
    <w:rPr>
      <w:b/>
      <w:i w:val="0"/>
      <w:sz w:val="20"/>
    </w:rPr>
  </w:style>
  <w:style w:type="paragraph" w:customStyle="1" w:styleId="63">
    <w:name w:val="t-tulo-pregunta"/>
    <w:basedOn w:val="1"/>
    <w:qFormat/>
    <w:uiPriority w:val="0"/>
    <w:pPr>
      <w:spacing w:before="100" w:beforeAutospacing="1" w:after="100" w:afterAutospacing="1" w:line="240" w:lineRule="auto"/>
    </w:pPr>
    <w:rPr>
      <w:rFonts w:eastAsia="Times New Roman" w:cs="Times New Roman"/>
      <w:szCs w:val="24"/>
      <w:lang w:val="es-VE" w:eastAsia="es-VE"/>
    </w:rPr>
  </w:style>
  <w:style w:type="paragraph" w:customStyle="1" w:styleId="64">
    <w:name w:val="Default"/>
    <w:qFormat/>
    <w:uiPriority w:val="0"/>
    <w:pPr>
      <w:autoSpaceDE w:val="0"/>
      <w:autoSpaceDN w:val="0"/>
      <w:adjustRightInd w:val="0"/>
      <w:spacing w:after="0" w:line="240" w:lineRule="auto"/>
    </w:pPr>
    <w:rPr>
      <w:rFonts w:ascii="Times New Roman" w:hAnsi="Times New Roman" w:cs="Times New Roman" w:eastAsiaTheme="minorHAnsi"/>
      <w:color w:val="000000"/>
      <w:kern w:val="0"/>
      <w:sz w:val="24"/>
      <w:szCs w:val="24"/>
      <w:lang w:val="es-PE" w:eastAsia="en-US" w:bidi="ar-SA"/>
      <w14:ligatures w14:val="none"/>
    </w:rPr>
  </w:style>
  <w:style w:type="table" w:customStyle="1" w:styleId="65">
    <w:name w:val="Plain Table 2"/>
    <w:basedOn w:val="8"/>
    <w:qFormat/>
    <w:uiPriority w:val="42"/>
    <w:pPr>
      <w:spacing w:after="0" w:line="240" w:lineRule="auto"/>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66">
    <w:name w:val="Plain Table 5"/>
    <w:basedOn w:val="8"/>
    <w:qFormat/>
    <w:uiPriority w:val="45"/>
    <w:pPr>
      <w:spacing w:after="0" w:line="240" w:lineRule="auto"/>
    </w:p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emf"/><Relationship Id="rId17" Type="http://schemas.openxmlformats.org/officeDocument/2006/relationships/hyperlink" Target="https://orcid.org/0009-0007-5858-2794%20" TargetMode="External"/><Relationship Id="rId16" Type="http://schemas.openxmlformats.org/officeDocument/2006/relationships/hyperlink" Target="https://orcid.org/0009-0007-4162-488X%20" TargetMode="External"/><Relationship Id="rId15" Type="http://schemas.openxmlformats.org/officeDocument/2006/relationships/hyperlink" Target="https://orcid.org/0009-0006-3209-7080" TargetMode="External"/><Relationship Id="rId14" Type="http://schemas.openxmlformats.org/officeDocument/2006/relationships/hyperlink" Target="https://orcid.org/0009-0004-7345-6639" TargetMode="External"/><Relationship Id="rId13" Type="http://schemas.openxmlformats.org/officeDocument/2006/relationships/image" Target="media/image6.png"/><Relationship Id="rId12" Type="http://schemas.openxmlformats.org/officeDocument/2006/relationships/hyperlink" Target="mailto:ivfloresz@pucesa.edu.ec%20" TargetMode="External"/><Relationship Id="rId11" Type="http://schemas.openxmlformats.org/officeDocument/2006/relationships/image" Target="media/image5.png"/><Relationship Id="rId10" Type="http://schemas.openxmlformats.org/officeDocument/2006/relationships/hyperlink" Target="https://orcid.org/0000-0002-7079-5625%20" TargetMode="Externa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revista.investigaciondetecnologias.com/index.php/e-RMS/article/view/98"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5481</Words>
  <Characters>32157</Characters>
  <Lines>242</Lines>
  <Paragraphs>68</Paragraphs>
  <TotalTime>21</TotalTime>
  <ScaleCrop>false</ScaleCrop>
  <LinksUpToDate>false</LinksUpToDate>
  <CharactersWithSpaces>37338</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2024-11-17T20:32:00Z</dcterms:created>
  <dc:creator>Lipselotte Infante</dc:creator>
  <cp:lastModifiedBy>Repositorio CITSA</cp:lastModifiedBy>
  <cp:lastPrinted>2023-07-01T05:53:00Z</cp:lastPrinted>
  <dcterms:modified xsi:type="dcterms:W3CDTF">2024-12-10T16:19:41Z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1F0C7A5A18F34BB38E4F99D56478BF1F_13</vt:lpwstr>
  </property>
  <property fmtid="{D5CDD505-2E9C-101B-9397-08002B2CF9AE}" pid="3" name="ZOTERO_PREF_1">
    <vt:lpwstr>&lt;data data-version="3" zotero-version="6.0.36"&gt;&lt;session id="IEjlPa7i"/&gt;&lt;style id="http://www.zotero.org/styles/apa" locale="es-ES" hasBibliography="1" bibliographyStyleHasBeenSet="1"/&gt;&lt;prefs&gt;&lt;pref name="fieldType" value="Field"/&gt;&lt;/prefs&gt;&lt;/data&gt;</vt:lpwstr>
  </property>
  <property fmtid="{D5CDD505-2E9C-101B-9397-08002B2CF9AE}" pid="4" name="KSOProductBuildVer">
    <vt:lpwstr>1033-12.2.0.19307</vt:lpwstr>
  </property>
</Properties>
</file>