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tyle57"/>
        <w:tblW w:w="9498" w:type="dxa"/>
        <w:tblInd w:w="0" w:type="dxa"/>
        <w:tblLayout w:type="fixed"/>
        <w:tblLook w:val="04A0" w:firstRow="1" w:lastRow="0" w:firstColumn="1" w:lastColumn="0" w:noHBand="0" w:noVBand="1"/>
      </w:tblPr>
      <w:tblGrid>
        <w:gridCol w:w="4697"/>
        <w:gridCol w:w="4801"/>
      </w:tblGrid>
      <w:tr w:rsidR="00726E42" w14:paraId="2C5CF0D9" w14:textId="77777777">
        <w:tc>
          <w:tcPr>
            <w:tcW w:w="4697" w:type="dxa"/>
          </w:tcPr>
          <w:p w14:paraId="7AB32D75" w14:textId="77777777" w:rsidR="00726E42" w:rsidRDefault="00726E42">
            <w:pPr>
              <w:spacing w:before="60" w:after="60" w:line="240" w:lineRule="auto"/>
              <w:ind w:left="-57"/>
              <w:rPr>
                <w:color w:val="548DD4"/>
                <w:sz w:val="18"/>
                <w:szCs w:val="18"/>
                <w:highlight w:val="yellow"/>
              </w:rPr>
            </w:pPr>
            <w:bookmarkStart w:id="0" w:name="_Hlk193651518"/>
            <w:bookmarkEnd w:id="0"/>
          </w:p>
        </w:tc>
        <w:tc>
          <w:tcPr>
            <w:tcW w:w="4801" w:type="dxa"/>
          </w:tcPr>
          <w:p w14:paraId="46E3CDDA" w14:textId="77777777" w:rsidR="00726E42" w:rsidRDefault="00000000">
            <w:pPr>
              <w:pStyle w:val="Ttulo1"/>
              <w:spacing w:before="60" w:after="60"/>
              <w:jc w:val="right"/>
              <w:rPr>
                <w:b w:val="0"/>
                <w:color w:val="548DD4"/>
                <w:sz w:val="18"/>
                <w:szCs w:val="18"/>
                <w:u w:val="single"/>
              </w:rPr>
            </w:pPr>
            <w:r>
              <w:rPr>
                <w:b w:val="0"/>
                <w:i/>
                <w:sz w:val="18"/>
                <w:szCs w:val="18"/>
              </w:rPr>
              <w:t>Artículo Original</w:t>
            </w:r>
          </w:p>
        </w:tc>
      </w:tr>
    </w:tbl>
    <w:p w14:paraId="049087B5" w14:textId="77777777" w:rsidR="00726E42" w:rsidRDefault="00000000">
      <w:pPr>
        <w:spacing w:before="60" w:after="60" w:line="240" w:lineRule="auto"/>
        <w:jc w:val="both"/>
        <w:rPr>
          <w:b/>
          <w:bCs/>
          <w:sz w:val="28"/>
          <w:szCs w:val="28"/>
        </w:rPr>
      </w:pPr>
      <w:bookmarkStart w:id="1" w:name="bookmark=id.gjdgxs" w:colFirst="0" w:colLast="0"/>
      <w:bookmarkStart w:id="2" w:name="_heading=h.30j0zll" w:colFirst="0" w:colLast="0"/>
      <w:bookmarkEnd w:id="1"/>
      <w:bookmarkEnd w:id="2"/>
      <w:r>
        <w:rPr>
          <w:b/>
          <w:bCs/>
          <w:sz w:val="28"/>
          <w:szCs w:val="28"/>
          <w:lang w:val="es-ES"/>
        </w:rPr>
        <w:t>D</w:t>
      </w:r>
      <w:proofErr w:type="spellStart"/>
      <w:r>
        <w:rPr>
          <w:b/>
          <w:bCs/>
          <w:sz w:val="28"/>
          <w:szCs w:val="28"/>
        </w:rPr>
        <w:t>esempeño</w:t>
      </w:r>
      <w:proofErr w:type="spellEnd"/>
      <w:r>
        <w:rPr>
          <w:b/>
          <w:bCs/>
          <w:sz w:val="28"/>
          <w:szCs w:val="28"/>
        </w:rPr>
        <w:t xml:space="preserve"> </w:t>
      </w:r>
      <w:proofErr w:type="spellStart"/>
      <w:r>
        <w:rPr>
          <w:b/>
          <w:bCs/>
          <w:sz w:val="28"/>
          <w:szCs w:val="28"/>
        </w:rPr>
        <w:t>académico</w:t>
      </w:r>
      <w:proofErr w:type="spellEnd"/>
      <w:r>
        <w:rPr>
          <w:b/>
          <w:bCs/>
          <w:sz w:val="28"/>
          <w:szCs w:val="28"/>
        </w:rPr>
        <w:t xml:space="preserve"> de </w:t>
      </w:r>
      <w:proofErr w:type="spellStart"/>
      <w:r>
        <w:rPr>
          <w:b/>
          <w:bCs/>
          <w:sz w:val="28"/>
          <w:szCs w:val="28"/>
        </w:rPr>
        <w:t>estudiantes</w:t>
      </w:r>
      <w:proofErr w:type="spellEnd"/>
      <w:r>
        <w:rPr>
          <w:b/>
          <w:bCs/>
          <w:sz w:val="28"/>
          <w:szCs w:val="28"/>
        </w:rPr>
        <w:t xml:space="preserve"> </w:t>
      </w:r>
      <w:proofErr w:type="spellStart"/>
      <w:r>
        <w:rPr>
          <w:b/>
          <w:bCs/>
          <w:sz w:val="28"/>
          <w:szCs w:val="28"/>
        </w:rPr>
        <w:t>mediante</w:t>
      </w:r>
      <w:proofErr w:type="spellEnd"/>
      <w:r>
        <w:rPr>
          <w:b/>
          <w:bCs/>
          <w:sz w:val="28"/>
          <w:szCs w:val="28"/>
        </w:rPr>
        <w:t xml:space="preserve"> un </w:t>
      </w:r>
      <w:proofErr w:type="spellStart"/>
      <w:r>
        <w:rPr>
          <w:b/>
          <w:bCs/>
          <w:sz w:val="28"/>
          <w:szCs w:val="28"/>
        </w:rPr>
        <w:t>sistema</w:t>
      </w:r>
      <w:proofErr w:type="spellEnd"/>
      <w:r>
        <w:rPr>
          <w:b/>
          <w:bCs/>
          <w:sz w:val="28"/>
          <w:szCs w:val="28"/>
        </w:rPr>
        <w:t xml:space="preserve"> </w:t>
      </w:r>
      <w:proofErr w:type="spellStart"/>
      <w:r>
        <w:rPr>
          <w:b/>
          <w:bCs/>
          <w:sz w:val="28"/>
          <w:szCs w:val="28"/>
        </w:rPr>
        <w:t>multiplataforma</w:t>
      </w:r>
      <w:proofErr w:type="spellEnd"/>
      <w:r>
        <w:rPr>
          <w:b/>
          <w:bCs/>
          <w:sz w:val="28"/>
          <w:szCs w:val="28"/>
        </w:rPr>
        <w:t xml:space="preserve"> de </w:t>
      </w:r>
      <w:proofErr w:type="spellStart"/>
      <w:r>
        <w:rPr>
          <w:b/>
          <w:bCs/>
          <w:sz w:val="28"/>
          <w:szCs w:val="28"/>
        </w:rPr>
        <w:t>tutoría</w:t>
      </w:r>
      <w:proofErr w:type="spellEnd"/>
      <w:r>
        <w:rPr>
          <w:b/>
          <w:bCs/>
          <w:sz w:val="28"/>
          <w:szCs w:val="28"/>
        </w:rPr>
        <w:t xml:space="preserve"> </w:t>
      </w:r>
      <w:proofErr w:type="spellStart"/>
      <w:r>
        <w:rPr>
          <w:b/>
          <w:bCs/>
          <w:sz w:val="28"/>
          <w:szCs w:val="28"/>
        </w:rPr>
        <w:t>Facultad</w:t>
      </w:r>
      <w:proofErr w:type="spellEnd"/>
      <w:r>
        <w:rPr>
          <w:b/>
          <w:bCs/>
          <w:sz w:val="28"/>
          <w:szCs w:val="28"/>
        </w:rPr>
        <w:t xml:space="preserve"> de </w:t>
      </w:r>
      <w:proofErr w:type="spellStart"/>
      <w:r>
        <w:rPr>
          <w:b/>
          <w:bCs/>
          <w:sz w:val="28"/>
          <w:szCs w:val="28"/>
        </w:rPr>
        <w:t>Ingeniería</w:t>
      </w:r>
      <w:proofErr w:type="spellEnd"/>
      <w:r>
        <w:rPr>
          <w:b/>
          <w:bCs/>
          <w:sz w:val="28"/>
          <w:szCs w:val="28"/>
        </w:rPr>
        <w:t xml:space="preserve"> </w:t>
      </w:r>
      <w:r>
        <w:rPr>
          <w:b/>
          <w:bCs/>
          <w:sz w:val="28"/>
          <w:szCs w:val="28"/>
          <w:lang w:val="es-ES"/>
        </w:rPr>
        <w:t xml:space="preserve">de </w:t>
      </w:r>
      <w:proofErr w:type="gramStart"/>
      <w:r>
        <w:rPr>
          <w:b/>
          <w:bCs/>
          <w:sz w:val="28"/>
          <w:szCs w:val="28"/>
          <w:lang w:val="es-ES"/>
        </w:rPr>
        <w:t xml:space="preserve">la </w:t>
      </w:r>
      <w:r>
        <w:rPr>
          <w:b/>
          <w:bCs/>
          <w:sz w:val="28"/>
          <w:szCs w:val="28"/>
        </w:rPr>
        <w:t xml:space="preserve"> Universidad</w:t>
      </w:r>
      <w:proofErr w:type="gramEnd"/>
      <w:r>
        <w:rPr>
          <w:b/>
          <w:bCs/>
          <w:sz w:val="28"/>
          <w:szCs w:val="28"/>
        </w:rPr>
        <w:t xml:space="preserve"> Peruana Los Andes</w:t>
      </w:r>
    </w:p>
    <w:p w14:paraId="37B2DA2F" w14:textId="77777777" w:rsidR="00726E42" w:rsidRDefault="00726E42">
      <w:pPr>
        <w:spacing w:before="60" w:after="60" w:line="240" w:lineRule="auto"/>
        <w:jc w:val="both"/>
        <w:rPr>
          <w:b/>
          <w:bCs/>
          <w:sz w:val="2"/>
          <w:szCs w:val="2"/>
        </w:rPr>
      </w:pPr>
    </w:p>
    <w:p w14:paraId="63691616" w14:textId="77777777" w:rsidR="00726E42" w:rsidRDefault="00000000">
      <w:pPr>
        <w:spacing w:before="60" w:after="60" w:line="240" w:lineRule="auto"/>
        <w:jc w:val="both"/>
        <w:rPr>
          <w:b/>
          <w:i/>
          <w:iCs/>
          <w:sz w:val="24"/>
          <w:szCs w:val="24"/>
        </w:rPr>
      </w:pPr>
      <w:r>
        <w:rPr>
          <w:rFonts w:eastAsia="Nunito"/>
          <w:bCs/>
          <w:i/>
          <w:iCs/>
          <w:sz w:val="26"/>
          <w:szCs w:val="26"/>
        </w:rPr>
        <w:t>Academic performance of students through a multiplatform tutoring system, Faculty of Engineering, Universidad Peruana Los Andes</w:t>
      </w:r>
    </w:p>
    <w:p w14:paraId="5181421A" w14:textId="77777777" w:rsidR="00726E42" w:rsidRDefault="00000000">
      <w:pPr>
        <w:spacing w:before="60" w:after="60" w:line="240" w:lineRule="auto"/>
        <w:jc w:val="both"/>
        <w:rPr>
          <w:rFonts w:asciiTheme="minorHAnsi" w:hAnsiTheme="minorHAnsi" w:cstheme="minorHAnsi"/>
          <w:lang w:val="es-PE"/>
        </w:rPr>
      </w:pPr>
      <w:r>
        <w:rPr>
          <w:rFonts w:asciiTheme="minorHAnsi" w:hAnsiTheme="minorHAnsi"/>
          <w:lang w:val="es-PE"/>
        </w:rPr>
        <w:t>Fidel</w:t>
      </w:r>
      <w:r>
        <w:rPr>
          <w:rFonts w:asciiTheme="minorHAnsi" w:hAnsiTheme="minorHAnsi"/>
          <w:lang w:val="es-ES"/>
        </w:rPr>
        <w:t xml:space="preserve">, </w:t>
      </w:r>
      <w:r>
        <w:rPr>
          <w:rFonts w:asciiTheme="minorHAnsi" w:hAnsiTheme="minorHAnsi"/>
          <w:lang w:val="es-PE"/>
        </w:rPr>
        <w:t xml:space="preserve">Castro </w:t>
      </w:r>
      <w:proofErr w:type="spellStart"/>
      <w:r>
        <w:rPr>
          <w:rFonts w:asciiTheme="minorHAnsi" w:hAnsiTheme="minorHAnsi"/>
          <w:lang w:val="es-PE"/>
        </w:rPr>
        <w:t>Cayllahua</w:t>
      </w:r>
      <w:proofErr w:type="spellEnd"/>
      <w:r>
        <w:rPr>
          <w:rFonts w:asciiTheme="minorHAnsi" w:hAnsiTheme="minorHAnsi" w:cstheme="minorHAnsi"/>
          <w:noProof/>
        </w:rPr>
        <w:drawing>
          <wp:inline distT="0" distB="0" distL="0" distR="0" wp14:anchorId="37FFECBB" wp14:editId="70298ECF">
            <wp:extent cx="121285" cy="121920"/>
            <wp:effectExtent l="0" t="0" r="635" b="0"/>
            <wp:docPr id="935570620" name="image3.png">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935570620" name="image3.png"/>
                    <pic:cNvPicPr preferRelativeResize="0"/>
                  </pic:nvPicPr>
                  <pic:blipFill>
                    <a:blip r:embed="rId11"/>
                    <a:srcRect/>
                    <a:stretch>
                      <a:fillRect/>
                    </a:stretch>
                  </pic:blipFill>
                  <pic:spPr>
                    <a:xfrm>
                      <a:off x="0" y="0"/>
                      <a:ext cx="121919" cy="121920"/>
                    </a:xfrm>
                    <a:prstGeom prst="rect">
                      <a:avLst/>
                    </a:prstGeom>
                  </pic:spPr>
                </pic:pic>
              </a:graphicData>
            </a:graphic>
          </wp:inline>
        </w:drawing>
      </w:r>
      <w:hyperlink r:id="rId12"/>
      <w:r>
        <w:rPr>
          <w:rFonts w:asciiTheme="minorHAnsi" w:eastAsia="Times New Roman" w:hAnsiTheme="minorHAnsi" w:cstheme="minorHAnsi"/>
          <w:lang w:val="es-PE"/>
        </w:rPr>
        <w:t xml:space="preserve"> </w:t>
      </w:r>
      <w:hyperlink r:id="rId13">
        <w:r>
          <w:rPr>
            <w:rFonts w:asciiTheme="minorHAnsi" w:hAnsiTheme="minorHAnsi" w:cstheme="minorHAnsi"/>
            <w:noProof/>
          </w:rPr>
          <w:drawing>
            <wp:inline distT="0" distB="0" distL="0" distR="0" wp14:anchorId="055882FB" wp14:editId="2FA57A54">
              <wp:extent cx="220345" cy="175260"/>
              <wp:effectExtent l="0" t="0" r="8255" b="7620"/>
              <wp:docPr id="1947341874" name="image1.png" descr="Sobres de correo, sobres de correo, sobre png | PNGEgg">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1947341874" name="image1.png" descr="Sobres de correo, sobres de correo, sobre png | PNGEgg"/>
                      <pic:cNvPicPr preferRelativeResize="0"/>
                    </pic:nvPicPr>
                    <pic:blipFill>
                      <a:blip r:embed="rId15"/>
                      <a:srcRect/>
                      <a:stretch>
                        <a:fillRect/>
                      </a:stretch>
                    </pic:blipFill>
                    <pic:spPr>
                      <a:xfrm>
                        <a:off x="0" y="0"/>
                        <a:ext cx="220630" cy="175460"/>
                      </a:xfrm>
                      <a:prstGeom prst="rect">
                        <a:avLst/>
                      </a:prstGeom>
                    </pic:spPr>
                  </pic:pic>
                </a:graphicData>
              </a:graphic>
            </wp:inline>
          </w:drawing>
        </w:r>
      </w:hyperlink>
      <w:r>
        <w:rPr>
          <w:rFonts w:asciiTheme="minorHAnsi" w:hAnsiTheme="minorHAnsi" w:cstheme="minorHAnsi"/>
          <w:lang w:val="es-ES"/>
        </w:rPr>
        <w:t xml:space="preserve">; </w:t>
      </w:r>
      <w:r>
        <w:rPr>
          <w:rFonts w:asciiTheme="minorHAnsi" w:hAnsiTheme="minorHAnsi"/>
          <w:lang w:val="es-PE"/>
        </w:rPr>
        <w:t>Severo Simeón</w:t>
      </w:r>
      <w:r>
        <w:rPr>
          <w:rFonts w:asciiTheme="minorHAnsi" w:hAnsiTheme="minorHAnsi"/>
          <w:lang w:val="es-ES"/>
        </w:rPr>
        <w:t>,</w:t>
      </w:r>
      <w:r>
        <w:rPr>
          <w:rFonts w:asciiTheme="minorHAnsi" w:hAnsiTheme="minorHAnsi"/>
          <w:lang w:val="es-PE"/>
        </w:rPr>
        <w:t xml:space="preserve"> Calderón Samaniego</w:t>
      </w:r>
      <w:hyperlink r:id="rId16">
        <w:r>
          <w:rPr>
            <w:rFonts w:asciiTheme="minorHAnsi" w:hAnsiTheme="minorHAnsi" w:cstheme="minorHAnsi"/>
            <w:noProof/>
          </w:rPr>
          <w:drawing>
            <wp:inline distT="0" distB="0" distL="0" distR="0" wp14:anchorId="7A52A342" wp14:editId="4F4E0466">
              <wp:extent cx="121285" cy="121920"/>
              <wp:effectExtent l="0" t="0" r="635" b="0"/>
              <wp:docPr id="1947341873" name="image3.png">
                <a:hlinkClick xmlns:a="http://schemas.openxmlformats.org/drawingml/2006/main" r:id="rId17"/>
              </wp:docPr>
              <wp:cNvGraphicFramePr/>
              <a:graphic xmlns:a="http://schemas.openxmlformats.org/drawingml/2006/main">
                <a:graphicData uri="http://schemas.openxmlformats.org/drawingml/2006/picture">
                  <pic:pic xmlns:pic="http://schemas.openxmlformats.org/drawingml/2006/picture">
                    <pic:nvPicPr>
                      <pic:cNvPr id="1947341873" name="image3.png"/>
                      <pic:cNvPicPr preferRelativeResize="0"/>
                    </pic:nvPicPr>
                    <pic:blipFill>
                      <a:blip r:embed="rId11"/>
                      <a:srcRect/>
                      <a:stretch>
                        <a:fillRect/>
                      </a:stretch>
                    </pic:blipFill>
                    <pic:spPr>
                      <a:xfrm>
                        <a:off x="0" y="0"/>
                        <a:ext cx="121919" cy="121920"/>
                      </a:xfrm>
                      <a:prstGeom prst="rect">
                        <a:avLst/>
                      </a:prstGeom>
                    </pic:spPr>
                  </pic:pic>
                </a:graphicData>
              </a:graphic>
            </wp:inline>
          </w:drawing>
        </w:r>
      </w:hyperlink>
      <w:r>
        <w:rPr>
          <w:rFonts w:asciiTheme="minorHAnsi" w:hAnsiTheme="minorHAnsi"/>
          <w:lang w:val="es-ES"/>
        </w:rPr>
        <w:t xml:space="preserve">; </w:t>
      </w:r>
      <w:r>
        <w:rPr>
          <w:rFonts w:asciiTheme="minorHAnsi" w:hAnsiTheme="minorHAnsi"/>
          <w:lang w:val="es-PE"/>
        </w:rPr>
        <w:t>Waldir Alexis</w:t>
      </w:r>
      <w:r>
        <w:rPr>
          <w:rFonts w:asciiTheme="minorHAnsi" w:hAnsiTheme="minorHAnsi"/>
          <w:lang w:val="es-ES"/>
        </w:rPr>
        <w:t>,</w:t>
      </w:r>
      <w:r>
        <w:rPr>
          <w:rFonts w:asciiTheme="minorHAnsi" w:hAnsiTheme="minorHAnsi"/>
          <w:lang w:val="es-PE"/>
        </w:rPr>
        <w:t xml:space="preserve"> </w:t>
      </w:r>
      <w:proofErr w:type="spellStart"/>
      <w:r>
        <w:rPr>
          <w:rFonts w:asciiTheme="minorHAnsi" w:hAnsiTheme="minorHAnsi"/>
          <w:lang w:val="es-PE"/>
        </w:rPr>
        <w:t>Sanchez</w:t>
      </w:r>
      <w:proofErr w:type="spellEnd"/>
      <w:r>
        <w:rPr>
          <w:rFonts w:asciiTheme="minorHAnsi" w:hAnsiTheme="minorHAnsi"/>
          <w:lang w:val="es-PE"/>
        </w:rPr>
        <w:t xml:space="preserve"> Mattos</w:t>
      </w:r>
      <w:r>
        <w:rPr>
          <w:noProof/>
        </w:rPr>
        <w:drawing>
          <wp:inline distT="0" distB="0" distL="0" distR="0" wp14:anchorId="7F0BACC5" wp14:editId="7DEFFB19">
            <wp:extent cx="121920" cy="121920"/>
            <wp:effectExtent l="0" t="0" r="0" b="0"/>
            <wp:docPr id="402261818" name="image3.png">
              <a:hlinkClick xmlns:a="http://schemas.openxmlformats.org/drawingml/2006/main" r:id="rId18"/>
            </wp:docPr>
            <wp:cNvGraphicFramePr/>
            <a:graphic xmlns:a="http://schemas.openxmlformats.org/drawingml/2006/main">
              <a:graphicData uri="http://schemas.openxmlformats.org/drawingml/2006/picture">
                <pic:pic xmlns:pic="http://schemas.openxmlformats.org/drawingml/2006/picture">
                  <pic:nvPicPr>
                    <pic:cNvPr id="402261818" name="image3.png"/>
                    <pic:cNvPicPr preferRelativeResize="0"/>
                  </pic:nvPicPr>
                  <pic:blipFill>
                    <a:blip r:embed="rId11"/>
                    <a:srcRect/>
                    <a:stretch>
                      <a:fillRect/>
                    </a:stretch>
                  </pic:blipFill>
                  <pic:spPr>
                    <a:xfrm>
                      <a:off x="0" y="0"/>
                      <a:ext cx="121920" cy="121920"/>
                    </a:xfrm>
                    <a:prstGeom prst="rect">
                      <a:avLst/>
                    </a:prstGeom>
                  </pic:spPr>
                </pic:pic>
              </a:graphicData>
            </a:graphic>
          </wp:inline>
        </w:drawing>
      </w:r>
      <w:r>
        <w:rPr>
          <w:lang w:val="es-ES"/>
        </w:rPr>
        <w:t xml:space="preserve">; </w:t>
      </w:r>
      <w:r>
        <w:rPr>
          <w:rFonts w:asciiTheme="minorHAnsi" w:hAnsiTheme="minorHAnsi"/>
          <w:lang w:val="es-PE"/>
        </w:rPr>
        <w:t>Juan Enrique</w:t>
      </w:r>
      <w:r>
        <w:rPr>
          <w:rFonts w:asciiTheme="minorHAnsi" w:hAnsiTheme="minorHAnsi"/>
          <w:lang w:val="es-ES"/>
        </w:rPr>
        <w:t>,</w:t>
      </w:r>
      <w:r>
        <w:rPr>
          <w:rFonts w:asciiTheme="minorHAnsi" w:hAnsiTheme="minorHAnsi"/>
          <w:lang w:val="es-PE"/>
        </w:rPr>
        <w:t xml:space="preserve"> Gutiérrez </w:t>
      </w:r>
      <w:proofErr w:type="spellStart"/>
      <w:r>
        <w:rPr>
          <w:rFonts w:asciiTheme="minorHAnsi" w:hAnsiTheme="minorHAnsi"/>
          <w:lang w:val="es-PE"/>
        </w:rPr>
        <w:t>Waidhofer</w:t>
      </w:r>
      <w:proofErr w:type="spellEnd"/>
      <w:r>
        <w:rPr>
          <w:rFonts w:asciiTheme="minorHAnsi" w:hAnsiTheme="minorHAnsi"/>
          <w:lang w:val="es-ES"/>
        </w:rPr>
        <w:t xml:space="preserve"> </w:t>
      </w:r>
      <w:r>
        <w:rPr>
          <w:rFonts w:asciiTheme="minorHAnsi" w:hAnsiTheme="minorHAnsi" w:cstheme="minorHAnsi"/>
          <w:noProof/>
        </w:rPr>
        <w:drawing>
          <wp:inline distT="0" distB="0" distL="0" distR="0" wp14:anchorId="7A80DFE5" wp14:editId="3D1A5119">
            <wp:extent cx="121920" cy="121920"/>
            <wp:effectExtent l="0" t="0" r="0" b="0"/>
            <wp:docPr id="1980849252" name="image3.png">
              <a:hlinkClick xmlns:a="http://schemas.openxmlformats.org/drawingml/2006/main" r:id="rId19"/>
            </wp:docPr>
            <wp:cNvGraphicFramePr/>
            <a:graphic xmlns:a="http://schemas.openxmlformats.org/drawingml/2006/main">
              <a:graphicData uri="http://schemas.openxmlformats.org/drawingml/2006/picture">
                <pic:pic xmlns:pic="http://schemas.openxmlformats.org/drawingml/2006/picture">
                  <pic:nvPicPr>
                    <pic:cNvPr id="1980849252" name="image3.png"/>
                    <pic:cNvPicPr preferRelativeResize="0"/>
                  </pic:nvPicPr>
                  <pic:blipFill>
                    <a:blip r:embed="rId11"/>
                    <a:srcRect/>
                    <a:stretch>
                      <a:fillRect/>
                    </a:stretch>
                  </pic:blipFill>
                  <pic:spPr>
                    <a:xfrm>
                      <a:off x="0" y="0"/>
                      <a:ext cx="121920" cy="121920"/>
                    </a:xfrm>
                    <a:prstGeom prst="rect">
                      <a:avLst/>
                    </a:prstGeom>
                  </pic:spPr>
                </pic:pic>
              </a:graphicData>
            </a:graphic>
          </wp:inline>
        </w:drawing>
      </w:r>
      <w:r>
        <w:rPr>
          <w:rFonts w:asciiTheme="minorHAnsi" w:hAnsiTheme="minorHAnsi" w:cstheme="minorHAnsi"/>
          <w:lang w:val="es-ES"/>
        </w:rPr>
        <w:t xml:space="preserve">; </w:t>
      </w:r>
      <w:r>
        <w:rPr>
          <w:rFonts w:asciiTheme="minorHAnsi" w:hAnsiTheme="minorHAnsi"/>
          <w:lang w:val="es-PE"/>
        </w:rPr>
        <w:t xml:space="preserve">Richard </w:t>
      </w:r>
      <w:proofErr w:type="spellStart"/>
      <w:r>
        <w:rPr>
          <w:rFonts w:asciiTheme="minorHAnsi" w:hAnsiTheme="minorHAnsi"/>
          <w:lang w:val="es-PE"/>
        </w:rPr>
        <w:t>Jhonathan</w:t>
      </w:r>
      <w:proofErr w:type="spellEnd"/>
      <w:r>
        <w:rPr>
          <w:rFonts w:asciiTheme="minorHAnsi" w:hAnsiTheme="minorHAnsi"/>
          <w:lang w:val="es-ES"/>
        </w:rPr>
        <w:t xml:space="preserve">, </w:t>
      </w:r>
      <w:r>
        <w:rPr>
          <w:rFonts w:asciiTheme="minorHAnsi" w:hAnsiTheme="minorHAnsi"/>
          <w:lang w:val="es-PE"/>
        </w:rPr>
        <w:t>Condori Castro</w:t>
      </w:r>
      <w:r>
        <w:rPr>
          <w:rFonts w:asciiTheme="minorHAnsi" w:hAnsiTheme="minorHAnsi"/>
          <w:lang w:val="es-ES"/>
        </w:rPr>
        <w:t xml:space="preserve"> </w:t>
      </w:r>
      <w:hyperlink r:id="rId20">
        <w:r>
          <w:rPr>
            <w:rFonts w:asciiTheme="minorHAnsi" w:hAnsiTheme="minorHAnsi" w:cstheme="minorHAnsi"/>
            <w:noProof/>
          </w:rPr>
          <w:drawing>
            <wp:inline distT="0" distB="0" distL="0" distR="0" wp14:anchorId="35A5FE21" wp14:editId="3C130DDB">
              <wp:extent cx="121285" cy="121920"/>
              <wp:effectExtent l="0" t="0" r="635" b="0"/>
              <wp:docPr id="6" name="image3.png">
                <a:hlinkClick xmlns:a="http://schemas.openxmlformats.org/drawingml/2006/main" r:id="rId21"/>
              </wp:docPr>
              <wp:cNvGraphicFramePr/>
              <a:graphic xmlns:a="http://schemas.openxmlformats.org/drawingml/2006/main">
                <a:graphicData uri="http://schemas.openxmlformats.org/drawingml/2006/picture">
                  <pic:pic xmlns:pic="http://schemas.openxmlformats.org/drawingml/2006/picture">
                    <pic:nvPicPr>
                      <pic:cNvPr id="6" name="image3.png"/>
                      <pic:cNvPicPr preferRelativeResize="0"/>
                    </pic:nvPicPr>
                    <pic:blipFill>
                      <a:blip r:embed="rId11"/>
                      <a:srcRect/>
                      <a:stretch>
                        <a:fillRect/>
                      </a:stretch>
                    </pic:blipFill>
                    <pic:spPr>
                      <a:xfrm>
                        <a:off x="0" y="0"/>
                        <a:ext cx="121919" cy="121920"/>
                      </a:xfrm>
                      <a:prstGeom prst="rect">
                        <a:avLst/>
                      </a:prstGeom>
                    </pic:spPr>
                  </pic:pic>
                </a:graphicData>
              </a:graphic>
            </wp:inline>
          </w:drawing>
        </w:r>
      </w:hyperlink>
    </w:p>
    <w:p w14:paraId="66D1BFCD" w14:textId="77777777" w:rsidR="00726E42" w:rsidRDefault="00000000">
      <w:pPr>
        <w:spacing w:before="60" w:after="60" w:line="240" w:lineRule="auto"/>
        <w:jc w:val="both"/>
        <w:rPr>
          <w:sz w:val="16"/>
          <w:szCs w:val="16"/>
          <w:lang w:val="es-PE"/>
        </w:rPr>
      </w:pPr>
      <w:bookmarkStart w:id="3" w:name="_Hlk193376501"/>
      <w:r>
        <w:rPr>
          <w:sz w:val="16"/>
          <w:szCs w:val="16"/>
          <w:lang w:val="es-PE"/>
        </w:rPr>
        <w:t xml:space="preserve">Universidad </w:t>
      </w:r>
      <w:r>
        <w:rPr>
          <w:sz w:val="16"/>
          <w:szCs w:val="16"/>
          <w:lang w:val="es-ES"/>
        </w:rPr>
        <w:t>Peruana Los Andes, Huancayo</w:t>
      </w:r>
      <w:r>
        <w:rPr>
          <w:sz w:val="16"/>
          <w:szCs w:val="16"/>
          <w:lang w:val="es-PE"/>
        </w:rPr>
        <w:t>, Junín, Perú</w:t>
      </w:r>
      <w:bookmarkEnd w:id="3"/>
      <w:r>
        <w:rPr>
          <w:sz w:val="16"/>
          <w:szCs w:val="16"/>
          <w:lang w:val="es-PE"/>
        </w:rPr>
        <w:t>.</w:t>
      </w:r>
    </w:p>
    <w:p w14:paraId="17B80BF1" w14:textId="77777777" w:rsidR="00726E42" w:rsidRDefault="00726E42">
      <w:pPr>
        <w:widowControl w:val="0"/>
        <w:pBdr>
          <w:bottom w:val="single" w:sz="12" w:space="1" w:color="000000"/>
        </w:pBdr>
        <w:tabs>
          <w:tab w:val="left" w:pos="471"/>
        </w:tabs>
        <w:spacing w:after="0" w:line="240" w:lineRule="auto"/>
        <w:rPr>
          <w:sz w:val="2"/>
          <w:szCs w:val="2"/>
          <w:lang w:val="es-PE"/>
        </w:rPr>
      </w:pPr>
    </w:p>
    <w:p w14:paraId="0AAEE8AE" w14:textId="77777777" w:rsidR="00726E42" w:rsidRDefault="00000000">
      <w:pPr>
        <w:pStyle w:val="Subttulo"/>
        <w:rPr>
          <w:i w:val="0"/>
          <w:sz w:val="24"/>
          <w:szCs w:val="24"/>
          <w:lang w:val="zh-CN"/>
        </w:rPr>
      </w:pPr>
      <w:r>
        <w:rPr>
          <w:i w:val="0"/>
          <w:sz w:val="24"/>
          <w:szCs w:val="24"/>
          <w:lang w:val="zh-CN"/>
        </w:rPr>
        <w:t>Resumen</w:t>
      </w:r>
      <w:r>
        <w:t xml:space="preserve"> </w:t>
      </w:r>
    </w:p>
    <w:p w14:paraId="1246A7B8" w14:textId="3B9D00AE" w:rsidR="005C32B1" w:rsidRDefault="005C32B1" w:rsidP="005C32B1">
      <w:pPr>
        <w:pBdr>
          <w:bottom w:val="single" w:sz="12" w:space="1" w:color="000000"/>
        </w:pBdr>
        <w:spacing w:before="120" w:after="120" w:line="240" w:lineRule="auto"/>
        <w:jc w:val="both"/>
        <w:rPr>
          <w:sz w:val="16"/>
          <w:szCs w:val="16"/>
        </w:rPr>
      </w:pPr>
      <w:r w:rsidRPr="005C32B1">
        <w:rPr>
          <w:sz w:val="16"/>
          <w:szCs w:val="16"/>
        </w:rPr>
        <w:t xml:space="preserve">La </w:t>
      </w:r>
      <w:proofErr w:type="spellStart"/>
      <w:r w:rsidRPr="005C32B1">
        <w:rPr>
          <w:sz w:val="16"/>
          <w:szCs w:val="16"/>
        </w:rPr>
        <w:t>Facultad</w:t>
      </w:r>
      <w:proofErr w:type="spellEnd"/>
      <w:r w:rsidRPr="005C32B1">
        <w:rPr>
          <w:sz w:val="16"/>
          <w:szCs w:val="16"/>
        </w:rPr>
        <w:t xml:space="preserve"> de </w:t>
      </w:r>
      <w:proofErr w:type="spellStart"/>
      <w:r w:rsidRPr="005C32B1">
        <w:rPr>
          <w:sz w:val="16"/>
          <w:szCs w:val="16"/>
        </w:rPr>
        <w:t>Ingeniería</w:t>
      </w:r>
      <w:proofErr w:type="spellEnd"/>
      <w:r w:rsidRPr="005C32B1">
        <w:rPr>
          <w:sz w:val="16"/>
          <w:szCs w:val="16"/>
        </w:rPr>
        <w:t xml:space="preserve"> de la Universidad Peruana Los Andes ha </w:t>
      </w:r>
      <w:proofErr w:type="spellStart"/>
      <w:r w:rsidRPr="005C32B1">
        <w:rPr>
          <w:sz w:val="16"/>
          <w:szCs w:val="16"/>
        </w:rPr>
        <w:t>enfrentado</w:t>
      </w:r>
      <w:proofErr w:type="spellEnd"/>
      <w:r w:rsidRPr="005C32B1">
        <w:rPr>
          <w:sz w:val="16"/>
          <w:szCs w:val="16"/>
        </w:rPr>
        <w:t xml:space="preserve"> </w:t>
      </w:r>
      <w:proofErr w:type="spellStart"/>
      <w:r w:rsidRPr="005C32B1">
        <w:rPr>
          <w:sz w:val="16"/>
          <w:szCs w:val="16"/>
        </w:rPr>
        <w:t>históricamente</w:t>
      </w:r>
      <w:proofErr w:type="spellEnd"/>
      <w:r w:rsidRPr="005C32B1">
        <w:rPr>
          <w:sz w:val="16"/>
          <w:szCs w:val="16"/>
        </w:rPr>
        <w:t xml:space="preserve"> </w:t>
      </w:r>
      <w:proofErr w:type="spellStart"/>
      <w:r w:rsidRPr="005C32B1">
        <w:rPr>
          <w:sz w:val="16"/>
          <w:szCs w:val="16"/>
        </w:rPr>
        <w:t>problemas</w:t>
      </w:r>
      <w:proofErr w:type="spellEnd"/>
      <w:r w:rsidRPr="005C32B1">
        <w:rPr>
          <w:sz w:val="16"/>
          <w:szCs w:val="16"/>
        </w:rPr>
        <w:t xml:space="preserve"> de bajo </w:t>
      </w:r>
      <w:proofErr w:type="spellStart"/>
      <w:r w:rsidRPr="005C32B1">
        <w:rPr>
          <w:sz w:val="16"/>
          <w:szCs w:val="16"/>
        </w:rPr>
        <w:t>rendimiento</w:t>
      </w:r>
      <w:proofErr w:type="spellEnd"/>
      <w:r w:rsidRPr="005C32B1">
        <w:rPr>
          <w:sz w:val="16"/>
          <w:szCs w:val="16"/>
        </w:rPr>
        <w:t xml:space="preserve"> </w:t>
      </w:r>
      <w:proofErr w:type="spellStart"/>
      <w:r w:rsidRPr="005C32B1">
        <w:rPr>
          <w:sz w:val="16"/>
          <w:szCs w:val="16"/>
        </w:rPr>
        <w:t>académico</w:t>
      </w:r>
      <w:proofErr w:type="spellEnd"/>
      <w:r w:rsidRPr="005C32B1">
        <w:rPr>
          <w:sz w:val="16"/>
          <w:szCs w:val="16"/>
        </w:rPr>
        <w:t xml:space="preserve"> y </w:t>
      </w:r>
      <w:proofErr w:type="spellStart"/>
      <w:r w:rsidRPr="005C32B1">
        <w:rPr>
          <w:sz w:val="16"/>
          <w:szCs w:val="16"/>
        </w:rPr>
        <w:t>deserción</w:t>
      </w:r>
      <w:proofErr w:type="spellEnd"/>
      <w:r w:rsidRPr="005C32B1">
        <w:rPr>
          <w:sz w:val="16"/>
          <w:szCs w:val="16"/>
        </w:rPr>
        <w:t xml:space="preserve"> </w:t>
      </w:r>
      <w:proofErr w:type="spellStart"/>
      <w:r w:rsidRPr="005C32B1">
        <w:rPr>
          <w:sz w:val="16"/>
          <w:szCs w:val="16"/>
        </w:rPr>
        <w:t>estudiantil</w:t>
      </w:r>
      <w:proofErr w:type="spellEnd"/>
      <w:r w:rsidRPr="005C32B1">
        <w:rPr>
          <w:sz w:val="16"/>
          <w:szCs w:val="16"/>
        </w:rPr>
        <w:t xml:space="preserve">, </w:t>
      </w:r>
      <w:proofErr w:type="spellStart"/>
      <w:r w:rsidRPr="005C32B1">
        <w:rPr>
          <w:sz w:val="16"/>
          <w:szCs w:val="16"/>
        </w:rPr>
        <w:t>agravados</w:t>
      </w:r>
      <w:proofErr w:type="spellEnd"/>
      <w:r w:rsidRPr="005C32B1">
        <w:rPr>
          <w:sz w:val="16"/>
          <w:szCs w:val="16"/>
        </w:rPr>
        <w:t xml:space="preserve"> </w:t>
      </w:r>
      <w:proofErr w:type="spellStart"/>
      <w:r w:rsidRPr="005C32B1">
        <w:rPr>
          <w:sz w:val="16"/>
          <w:szCs w:val="16"/>
        </w:rPr>
        <w:t>por</w:t>
      </w:r>
      <w:proofErr w:type="spellEnd"/>
      <w:r w:rsidRPr="005C32B1">
        <w:rPr>
          <w:sz w:val="16"/>
          <w:szCs w:val="16"/>
        </w:rPr>
        <w:t xml:space="preserve"> la </w:t>
      </w:r>
      <w:proofErr w:type="spellStart"/>
      <w:r w:rsidRPr="005C32B1">
        <w:rPr>
          <w:sz w:val="16"/>
          <w:szCs w:val="16"/>
        </w:rPr>
        <w:t>ausencia</w:t>
      </w:r>
      <w:proofErr w:type="spellEnd"/>
      <w:r w:rsidRPr="005C32B1">
        <w:rPr>
          <w:sz w:val="16"/>
          <w:szCs w:val="16"/>
        </w:rPr>
        <w:t xml:space="preserve"> de </w:t>
      </w:r>
      <w:proofErr w:type="spellStart"/>
      <w:r w:rsidRPr="005C32B1">
        <w:rPr>
          <w:sz w:val="16"/>
          <w:szCs w:val="16"/>
        </w:rPr>
        <w:t>mecanismos</w:t>
      </w:r>
      <w:proofErr w:type="spellEnd"/>
      <w:r w:rsidRPr="005C32B1">
        <w:rPr>
          <w:sz w:val="16"/>
          <w:szCs w:val="16"/>
        </w:rPr>
        <w:t xml:space="preserve"> </w:t>
      </w:r>
      <w:proofErr w:type="spellStart"/>
      <w:r w:rsidRPr="005C32B1">
        <w:rPr>
          <w:sz w:val="16"/>
          <w:szCs w:val="16"/>
        </w:rPr>
        <w:t>efectivos</w:t>
      </w:r>
      <w:proofErr w:type="spellEnd"/>
      <w:r w:rsidRPr="005C32B1">
        <w:rPr>
          <w:sz w:val="16"/>
          <w:szCs w:val="16"/>
        </w:rPr>
        <w:t xml:space="preserve"> de </w:t>
      </w:r>
      <w:proofErr w:type="spellStart"/>
      <w:r w:rsidRPr="005C32B1">
        <w:rPr>
          <w:sz w:val="16"/>
          <w:szCs w:val="16"/>
        </w:rPr>
        <w:t>seguimiento</w:t>
      </w:r>
      <w:proofErr w:type="spellEnd"/>
      <w:r w:rsidRPr="005C32B1">
        <w:rPr>
          <w:sz w:val="16"/>
          <w:szCs w:val="16"/>
        </w:rPr>
        <w:t xml:space="preserve"> </w:t>
      </w:r>
      <w:proofErr w:type="spellStart"/>
      <w:r w:rsidRPr="005C32B1">
        <w:rPr>
          <w:sz w:val="16"/>
          <w:szCs w:val="16"/>
        </w:rPr>
        <w:t>pedagógico</w:t>
      </w:r>
      <w:proofErr w:type="spellEnd"/>
      <w:r w:rsidRPr="005C32B1">
        <w:rPr>
          <w:sz w:val="16"/>
          <w:szCs w:val="16"/>
        </w:rPr>
        <w:t xml:space="preserve">. El </w:t>
      </w:r>
      <w:proofErr w:type="spellStart"/>
      <w:r w:rsidRPr="005C32B1">
        <w:rPr>
          <w:sz w:val="16"/>
          <w:szCs w:val="16"/>
        </w:rPr>
        <w:t>sistema</w:t>
      </w:r>
      <w:proofErr w:type="spellEnd"/>
      <w:r w:rsidRPr="005C32B1">
        <w:rPr>
          <w:sz w:val="16"/>
          <w:szCs w:val="16"/>
        </w:rPr>
        <w:t xml:space="preserve"> de </w:t>
      </w:r>
      <w:proofErr w:type="spellStart"/>
      <w:r w:rsidRPr="005C32B1">
        <w:rPr>
          <w:sz w:val="16"/>
          <w:szCs w:val="16"/>
        </w:rPr>
        <w:t>tutoría</w:t>
      </w:r>
      <w:proofErr w:type="spellEnd"/>
      <w:r w:rsidRPr="005C32B1">
        <w:rPr>
          <w:sz w:val="16"/>
          <w:szCs w:val="16"/>
        </w:rPr>
        <w:t xml:space="preserve"> </w:t>
      </w:r>
      <w:proofErr w:type="spellStart"/>
      <w:r w:rsidRPr="005C32B1">
        <w:rPr>
          <w:sz w:val="16"/>
          <w:szCs w:val="16"/>
        </w:rPr>
        <w:t>previo</w:t>
      </w:r>
      <w:proofErr w:type="spellEnd"/>
      <w:r w:rsidRPr="005C32B1">
        <w:rPr>
          <w:sz w:val="16"/>
          <w:szCs w:val="16"/>
        </w:rPr>
        <w:t xml:space="preserve">, </w:t>
      </w:r>
      <w:proofErr w:type="spellStart"/>
      <w:r w:rsidRPr="005C32B1">
        <w:rPr>
          <w:sz w:val="16"/>
          <w:szCs w:val="16"/>
        </w:rPr>
        <w:t>fragmentado</w:t>
      </w:r>
      <w:proofErr w:type="spellEnd"/>
      <w:r w:rsidRPr="005C32B1">
        <w:rPr>
          <w:sz w:val="16"/>
          <w:szCs w:val="16"/>
        </w:rPr>
        <w:t xml:space="preserve"> entre </w:t>
      </w:r>
      <w:proofErr w:type="spellStart"/>
      <w:r w:rsidRPr="005C32B1">
        <w:rPr>
          <w:sz w:val="16"/>
          <w:szCs w:val="16"/>
        </w:rPr>
        <w:t>escuelas</w:t>
      </w:r>
      <w:proofErr w:type="spellEnd"/>
      <w:r w:rsidRPr="005C32B1">
        <w:rPr>
          <w:sz w:val="16"/>
          <w:szCs w:val="16"/>
        </w:rPr>
        <w:t xml:space="preserve"> </w:t>
      </w:r>
      <w:proofErr w:type="spellStart"/>
      <w:r w:rsidRPr="005C32B1">
        <w:rPr>
          <w:sz w:val="16"/>
          <w:szCs w:val="16"/>
        </w:rPr>
        <w:t>profesionales</w:t>
      </w:r>
      <w:proofErr w:type="spellEnd"/>
      <w:r w:rsidRPr="005C32B1">
        <w:rPr>
          <w:sz w:val="16"/>
          <w:szCs w:val="16"/>
        </w:rPr>
        <w:t xml:space="preserve">, </w:t>
      </w:r>
      <w:proofErr w:type="spellStart"/>
      <w:r w:rsidRPr="005C32B1">
        <w:rPr>
          <w:sz w:val="16"/>
          <w:szCs w:val="16"/>
        </w:rPr>
        <w:t>motivó</w:t>
      </w:r>
      <w:proofErr w:type="spellEnd"/>
      <w:r w:rsidRPr="005C32B1">
        <w:rPr>
          <w:sz w:val="16"/>
          <w:szCs w:val="16"/>
        </w:rPr>
        <w:t xml:space="preserve"> la </w:t>
      </w:r>
      <w:proofErr w:type="spellStart"/>
      <w:r w:rsidRPr="005C32B1">
        <w:rPr>
          <w:sz w:val="16"/>
          <w:szCs w:val="16"/>
        </w:rPr>
        <w:t>implementación</w:t>
      </w:r>
      <w:proofErr w:type="spellEnd"/>
      <w:r w:rsidRPr="005C32B1">
        <w:rPr>
          <w:sz w:val="16"/>
          <w:szCs w:val="16"/>
        </w:rPr>
        <w:t xml:space="preserve"> de un </w:t>
      </w:r>
      <w:proofErr w:type="spellStart"/>
      <w:r w:rsidRPr="005C32B1">
        <w:rPr>
          <w:sz w:val="16"/>
          <w:szCs w:val="16"/>
        </w:rPr>
        <w:t>modelo</w:t>
      </w:r>
      <w:proofErr w:type="spellEnd"/>
      <w:r w:rsidRPr="005C32B1">
        <w:rPr>
          <w:sz w:val="16"/>
          <w:szCs w:val="16"/>
        </w:rPr>
        <w:t xml:space="preserve"> </w:t>
      </w:r>
      <w:proofErr w:type="spellStart"/>
      <w:r w:rsidRPr="005C32B1">
        <w:rPr>
          <w:sz w:val="16"/>
          <w:szCs w:val="16"/>
        </w:rPr>
        <w:t>multiplataforma</w:t>
      </w:r>
      <w:proofErr w:type="spellEnd"/>
      <w:r w:rsidRPr="005C32B1">
        <w:rPr>
          <w:sz w:val="16"/>
          <w:szCs w:val="16"/>
        </w:rPr>
        <w:t xml:space="preserve"> </w:t>
      </w:r>
      <w:proofErr w:type="spellStart"/>
      <w:r w:rsidRPr="005C32B1">
        <w:rPr>
          <w:sz w:val="16"/>
          <w:szCs w:val="16"/>
        </w:rPr>
        <w:t>unificado</w:t>
      </w:r>
      <w:proofErr w:type="spellEnd"/>
      <w:r w:rsidRPr="005C32B1">
        <w:rPr>
          <w:sz w:val="16"/>
          <w:szCs w:val="16"/>
        </w:rPr>
        <w:t xml:space="preserve"> y </w:t>
      </w:r>
      <w:proofErr w:type="spellStart"/>
      <w:r w:rsidRPr="005C32B1">
        <w:rPr>
          <w:sz w:val="16"/>
          <w:szCs w:val="16"/>
        </w:rPr>
        <w:t>tecnológicamente</w:t>
      </w:r>
      <w:proofErr w:type="spellEnd"/>
      <w:r w:rsidRPr="005C32B1">
        <w:rPr>
          <w:sz w:val="16"/>
          <w:szCs w:val="16"/>
        </w:rPr>
        <w:t xml:space="preserve"> </w:t>
      </w:r>
      <w:proofErr w:type="spellStart"/>
      <w:r w:rsidRPr="005C32B1">
        <w:rPr>
          <w:sz w:val="16"/>
          <w:szCs w:val="16"/>
        </w:rPr>
        <w:t>avanzado</w:t>
      </w:r>
      <w:proofErr w:type="spellEnd"/>
      <w:r w:rsidRPr="005C32B1">
        <w:rPr>
          <w:sz w:val="16"/>
          <w:szCs w:val="16"/>
        </w:rPr>
        <w:t>.</w:t>
      </w:r>
      <w:r>
        <w:rPr>
          <w:sz w:val="16"/>
          <w:szCs w:val="16"/>
        </w:rPr>
        <w:t xml:space="preserve"> </w:t>
      </w:r>
      <w:r w:rsidRPr="005C32B1">
        <w:rPr>
          <w:sz w:val="16"/>
          <w:szCs w:val="16"/>
        </w:rPr>
        <w:t xml:space="preserve">La </w:t>
      </w:r>
      <w:proofErr w:type="spellStart"/>
      <w:r w:rsidRPr="005C32B1">
        <w:rPr>
          <w:sz w:val="16"/>
          <w:szCs w:val="16"/>
        </w:rPr>
        <w:t>investigación</w:t>
      </w:r>
      <w:proofErr w:type="spellEnd"/>
      <w:r w:rsidRPr="005C32B1">
        <w:rPr>
          <w:sz w:val="16"/>
          <w:szCs w:val="16"/>
        </w:rPr>
        <w:t xml:space="preserve"> </w:t>
      </w:r>
      <w:proofErr w:type="spellStart"/>
      <w:r w:rsidRPr="005C32B1">
        <w:rPr>
          <w:sz w:val="16"/>
          <w:szCs w:val="16"/>
        </w:rPr>
        <w:t>adoptó</w:t>
      </w:r>
      <w:proofErr w:type="spellEnd"/>
      <w:r w:rsidRPr="005C32B1">
        <w:rPr>
          <w:sz w:val="16"/>
          <w:szCs w:val="16"/>
        </w:rPr>
        <w:t xml:space="preserve"> </w:t>
      </w:r>
      <w:proofErr w:type="spellStart"/>
      <w:r w:rsidRPr="005C32B1">
        <w:rPr>
          <w:sz w:val="16"/>
          <w:szCs w:val="16"/>
        </w:rPr>
        <w:t>una</w:t>
      </w:r>
      <w:proofErr w:type="spellEnd"/>
      <w:r w:rsidRPr="005C32B1">
        <w:rPr>
          <w:sz w:val="16"/>
          <w:szCs w:val="16"/>
        </w:rPr>
        <w:t xml:space="preserve"> </w:t>
      </w:r>
      <w:proofErr w:type="spellStart"/>
      <w:r w:rsidRPr="005C32B1">
        <w:rPr>
          <w:sz w:val="16"/>
          <w:szCs w:val="16"/>
        </w:rPr>
        <w:t>metodología</w:t>
      </w:r>
      <w:proofErr w:type="spellEnd"/>
      <w:r w:rsidRPr="005C32B1">
        <w:rPr>
          <w:sz w:val="16"/>
          <w:szCs w:val="16"/>
        </w:rPr>
        <w:t xml:space="preserve"> </w:t>
      </w:r>
      <w:proofErr w:type="spellStart"/>
      <w:r w:rsidRPr="005C32B1">
        <w:rPr>
          <w:sz w:val="16"/>
          <w:szCs w:val="16"/>
        </w:rPr>
        <w:t>híbrida</w:t>
      </w:r>
      <w:proofErr w:type="spellEnd"/>
      <w:r w:rsidRPr="005C32B1">
        <w:rPr>
          <w:sz w:val="16"/>
          <w:szCs w:val="16"/>
        </w:rPr>
        <w:t xml:space="preserve"> con </w:t>
      </w:r>
      <w:proofErr w:type="spellStart"/>
      <w:r w:rsidRPr="005C32B1">
        <w:rPr>
          <w:sz w:val="16"/>
          <w:szCs w:val="16"/>
        </w:rPr>
        <w:t>enfoque</w:t>
      </w:r>
      <w:proofErr w:type="spellEnd"/>
      <w:r w:rsidRPr="005C32B1">
        <w:rPr>
          <w:sz w:val="16"/>
          <w:szCs w:val="16"/>
        </w:rPr>
        <w:t xml:space="preserve"> pre-experimental de </w:t>
      </w:r>
      <w:proofErr w:type="spellStart"/>
      <w:r w:rsidRPr="005C32B1">
        <w:rPr>
          <w:sz w:val="16"/>
          <w:szCs w:val="16"/>
        </w:rPr>
        <w:t>investigación-acción</w:t>
      </w:r>
      <w:proofErr w:type="spellEnd"/>
      <w:r w:rsidRPr="005C32B1">
        <w:rPr>
          <w:sz w:val="16"/>
          <w:szCs w:val="16"/>
        </w:rPr>
        <w:t xml:space="preserve">, </w:t>
      </w:r>
      <w:proofErr w:type="spellStart"/>
      <w:r w:rsidRPr="005C32B1">
        <w:rPr>
          <w:sz w:val="16"/>
          <w:szCs w:val="16"/>
        </w:rPr>
        <w:t>utilizando</w:t>
      </w:r>
      <w:proofErr w:type="spellEnd"/>
      <w:r w:rsidRPr="005C32B1">
        <w:rPr>
          <w:sz w:val="16"/>
          <w:szCs w:val="16"/>
        </w:rPr>
        <w:t xml:space="preserve"> un </w:t>
      </w:r>
      <w:proofErr w:type="spellStart"/>
      <w:r w:rsidRPr="005C32B1">
        <w:rPr>
          <w:sz w:val="16"/>
          <w:szCs w:val="16"/>
        </w:rPr>
        <w:t>diseño</w:t>
      </w:r>
      <w:proofErr w:type="spellEnd"/>
      <w:r w:rsidRPr="005C32B1">
        <w:rPr>
          <w:sz w:val="16"/>
          <w:szCs w:val="16"/>
        </w:rPr>
        <w:t xml:space="preserve"> de </w:t>
      </w:r>
      <w:proofErr w:type="spellStart"/>
      <w:r w:rsidRPr="005C32B1">
        <w:rPr>
          <w:sz w:val="16"/>
          <w:szCs w:val="16"/>
        </w:rPr>
        <w:t>grupo</w:t>
      </w:r>
      <w:proofErr w:type="spellEnd"/>
      <w:r w:rsidRPr="005C32B1">
        <w:rPr>
          <w:sz w:val="16"/>
          <w:szCs w:val="16"/>
        </w:rPr>
        <w:t xml:space="preserve"> </w:t>
      </w:r>
      <w:proofErr w:type="spellStart"/>
      <w:r w:rsidRPr="005C32B1">
        <w:rPr>
          <w:sz w:val="16"/>
          <w:szCs w:val="16"/>
        </w:rPr>
        <w:t>único</w:t>
      </w:r>
      <w:proofErr w:type="spellEnd"/>
      <w:r w:rsidRPr="005C32B1">
        <w:rPr>
          <w:sz w:val="16"/>
          <w:szCs w:val="16"/>
        </w:rPr>
        <w:t xml:space="preserve"> con </w:t>
      </w:r>
      <w:proofErr w:type="spellStart"/>
      <w:r w:rsidRPr="005C32B1">
        <w:rPr>
          <w:sz w:val="16"/>
          <w:szCs w:val="16"/>
        </w:rPr>
        <w:t>mediciones</w:t>
      </w:r>
      <w:proofErr w:type="spellEnd"/>
      <w:r w:rsidRPr="005C32B1">
        <w:rPr>
          <w:sz w:val="16"/>
          <w:szCs w:val="16"/>
        </w:rPr>
        <w:t xml:space="preserve"> antes y </w:t>
      </w:r>
      <w:proofErr w:type="spellStart"/>
      <w:r w:rsidRPr="005C32B1">
        <w:rPr>
          <w:sz w:val="16"/>
          <w:szCs w:val="16"/>
        </w:rPr>
        <w:t>después</w:t>
      </w:r>
      <w:proofErr w:type="spellEnd"/>
      <w:r w:rsidRPr="005C32B1">
        <w:rPr>
          <w:sz w:val="16"/>
          <w:szCs w:val="16"/>
        </w:rPr>
        <w:t xml:space="preserve">. La población </w:t>
      </w:r>
      <w:proofErr w:type="spellStart"/>
      <w:r w:rsidRPr="005C32B1">
        <w:rPr>
          <w:sz w:val="16"/>
          <w:szCs w:val="16"/>
        </w:rPr>
        <w:t>estuvo</w:t>
      </w:r>
      <w:proofErr w:type="spellEnd"/>
      <w:r w:rsidRPr="005C32B1">
        <w:rPr>
          <w:sz w:val="16"/>
          <w:szCs w:val="16"/>
        </w:rPr>
        <w:t xml:space="preserve"> </w:t>
      </w:r>
      <w:proofErr w:type="spellStart"/>
      <w:r w:rsidRPr="005C32B1">
        <w:rPr>
          <w:sz w:val="16"/>
          <w:szCs w:val="16"/>
        </w:rPr>
        <w:t>compuesta</w:t>
      </w:r>
      <w:proofErr w:type="spellEnd"/>
      <w:r w:rsidRPr="005C32B1">
        <w:rPr>
          <w:sz w:val="16"/>
          <w:szCs w:val="16"/>
        </w:rPr>
        <w:t xml:space="preserve"> </w:t>
      </w:r>
      <w:proofErr w:type="spellStart"/>
      <w:r w:rsidRPr="005C32B1">
        <w:rPr>
          <w:sz w:val="16"/>
          <w:szCs w:val="16"/>
        </w:rPr>
        <w:t>por</w:t>
      </w:r>
      <w:proofErr w:type="spellEnd"/>
      <w:r w:rsidRPr="005C32B1">
        <w:rPr>
          <w:sz w:val="16"/>
          <w:szCs w:val="16"/>
        </w:rPr>
        <w:t xml:space="preserve"> </w:t>
      </w:r>
      <w:proofErr w:type="spellStart"/>
      <w:r w:rsidRPr="005C32B1">
        <w:rPr>
          <w:sz w:val="16"/>
          <w:szCs w:val="16"/>
        </w:rPr>
        <w:t>estudiantes</w:t>
      </w:r>
      <w:proofErr w:type="spellEnd"/>
      <w:r w:rsidRPr="005C32B1">
        <w:rPr>
          <w:sz w:val="16"/>
          <w:szCs w:val="16"/>
        </w:rPr>
        <w:t xml:space="preserve"> </w:t>
      </w:r>
      <w:proofErr w:type="spellStart"/>
      <w:r w:rsidRPr="005C32B1">
        <w:rPr>
          <w:sz w:val="16"/>
          <w:szCs w:val="16"/>
        </w:rPr>
        <w:t>en</w:t>
      </w:r>
      <w:proofErr w:type="spellEnd"/>
      <w:r w:rsidRPr="005C32B1">
        <w:rPr>
          <w:sz w:val="16"/>
          <w:szCs w:val="16"/>
        </w:rPr>
        <w:t xml:space="preserve"> </w:t>
      </w:r>
      <w:proofErr w:type="spellStart"/>
      <w:r w:rsidRPr="005C32B1">
        <w:rPr>
          <w:sz w:val="16"/>
          <w:szCs w:val="16"/>
        </w:rPr>
        <w:t>situación</w:t>
      </w:r>
      <w:proofErr w:type="spellEnd"/>
      <w:r w:rsidRPr="005C32B1">
        <w:rPr>
          <w:sz w:val="16"/>
          <w:szCs w:val="16"/>
        </w:rPr>
        <w:t xml:space="preserve"> de bajo </w:t>
      </w:r>
      <w:proofErr w:type="spellStart"/>
      <w:r w:rsidRPr="005C32B1">
        <w:rPr>
          <w:sz w:val="16"/>
          <w:szCs w:val="16"/>
        </w:rPr>
        <w:t>rendimiento</w:t>
      </w:r>
      <w:proofErr w:type="spellEnd"/>
      <w:r w:rsidRPr="005C32B1">
        <w:rPr>
          <w:sz w:val="16"/>
          <w:szCs w:val="16"/>
        </w:rPr>
        <w:t xml:space="preserve">. Se </w:t>
      </w:r>
      <w:proofErr w:type="spellStart"/>
      <w:r w:rsidRPr="005C32B1">
        <w:rPr>
          <w:sz w:val="16"/>
          <w:szCs w:val="16"/>
        </w:rPr>
        <w:t>emplearon</w:t>
      </w:r>
      <w:proofErr w:type="spellEnd"/>
      <w:r w:rsidRPr="005C32B1">
        <w:rPr>
          <w:sz w:val="16"/>
          <w:szCs w:val="16"/>
        </w:rPr>
        <w:t xml:space="preserve"> </w:t>
      </w:r>
      <w:proofErr w:type="spellStart"/>
      <w:r w:rsidRPr="005C32B1">
        <w:rPr>
          <w:sz w:val="16"/>
          <w:szCs w:val="16"/>
        </w:rPr>
        <w:t>encuestas</w:t>
      </w:r>
      <w:proofErr w:type="spellEnd"/>
      <w:r w:rsidRPr="005C32B1">
        <w:rPr>
          <w:sz w:val="16"/>
          <w:szCs w:val="16"/>
        </w:rPr>
        <w:t xml:space="preserve">, </w:t>
      </w:r>
      <w:proofErr w:type="spellStart"/>
      <w:r w:rsidRPr="005C32B1">
        <w:rPr>
          <w:sz w:val="16"/>
          <w:szCs w:val="16"/>
        </w:rPr>
        <w:t>observación</w:t>
      </w:r>
      <w:proofErr w:type="spellEnd"/>
      <w:r w:rsidRPr="005C32B1">
        <w:rPr>
          <w:sz w:val="16"/>
          <w:szCs w:val="16"/>
        </w:rPr>
        <w:t xml:space="preserve"> </w:t>
      </w:r>
      <w:proofErr w:type="spellStart"/>
      <w:r w:rsidRPr="005C32B1">
        <w:rPr>
          <w:sz w:val="16"/>
          <w:szCs w:val="16"/>
        </w:rPr>
        <w:t>directa</w:t>
      </w:r>
      <w:proofErr w:type="spellEnd"/>
      <w:r w:rsidRPr="005C32B1">
        <w:rPr>
          <w:sz w:val="16"/>
          <w:szCs w:val="16"/>
        </w:rPr>
        <w:t xml:space="preserve"> y </w:t>
      </w:r>
      <w:proofErr w:type="spellStart"/>
      <w:r w:rsidRPr="005C32B1">
        <w:rPr>
          <w:sz w:val="16"/>
          <w:szCs w:val="16"/>
        </w:rPr>
        <w:t>revisión</w:t>
      </w:r>
      <w:proofErr w:type="spellEnd"/>
      <w:r w:rsidRPr="005C32B1">
        <w:rPr>
          <w:sz w:val="16"/>
          <w:szCs w:val="16"/>
        </w:rPr>
        <w:t xml:space="preserve"> documental, </w:t>
      </w:r>
      <w:proofErr w:type="spellStart"/>
      <w:r w:rsidRPr="005C32B1">
        <w:rPr>
          <w:sz w:val="16"/>
          <w:szCs w:val="16"/>
        </w:rPr>
        <w:t>validando</w:t>
      </w:r>
      <w:proofErr w:type="spellEnd"/>
      <w:r w:rsidRPr="005C32B1">
        <w:rPr>
          <w:sz w:val="16"/>
          <w:szCs w:val="16"/>
        </w:rPr>
        <w:t xml:space="preserve"> la </w:t>
      </w:r>
      <w:proofErr w:type="spellStart"/>
      <w:r w:rsidRPr="005C32B1">
        <w:rPr>
          <w:sz w:val="16"/>
          <w:szCs w:val="16"/>
        </w:rPr>
        <w:t>fiabilidad</w:t>
      </w:r>
      <w:proofErr w:type="spellEnd"/>
      <w:r w:rsidRPr="005C32B1">
        <w:rPr>
          <w:sz w:val="16"/>
          <w:szCs w:val="16"/>
        </w:rPr>
        <w:t xml:space="preserve"> de </w:t>
      </w:r>
      <w:proofErr w:type="spellStart"/>
      <w:r w:rsidRPr="005C32B1">
        <w:rPr>
          <w:sz w:val="16"/>
          <w:szCs w:val="16"/>
        </w:rPr>
        <w:t>los</w:t>
      </w:r>
      <w:proofErr w:type="spellEnd"/>
      <w:r w:rsidRPr="005C32B1">
        <w:rPr>
          <w:sz w:val="16"/>
          <w:szCs w:val="16"/>
        </w:rPr>
        <w:t xml:space="preserve"> </w:t>
      </w:r>
      <w:proofErr w:type="spellStart"/>
      <w:r w:rsidRPr="005C32B1">
        <w:rPr>
          <w:sz w:val="16"/>
          <w:szCs w:val="16"/>
        </w:rPr>
        <w:t>instrumentos</w:t>
      </w:r>
      <w:proofErr w:type="spellEnd"/>
      <w:r w:rsidRPr="005C32B1">
        <w:rPr>
          <w:sz w:val="16"/>
          <w:szCs w:val="16"/>
        </w:rPr>
        <w:t xml:space="preserve"> </w:t>
      </w:r>
      <w:proofErr w:type="spellStart"/>
      <w:r w:rsidRPr="005C32B1">
        <w:rPr>
          <w:sz w:val="16"/>
          <w:szCs w:val="16"/>
        </w:rPr>
        <w:t>mediante</w:t>
      </w:r>
      <w:proofErr w:type="spellEnd"/>
      <w:r w:rsidRPr="005C32B1">
        <w:rPr>
          <w:sz w:val="16"/>
          <w:szCs w:val="16"/>
        </w:rPr>
        <w:t xml:space="preserve"> </w:t>
      </w:r>
      <w:proofErr w:type="spellStart"/>
      <w:r w:rsidRPr="005C32B1">
        <w:rPr>
          <w:sz w:val="16"/>
          <w:szCs w:val="16"/>
        </w:rPr>
        <w:t>el</w:t>
      </w:r>
      <w:proofErr w:type="spellEnd"/>
      <w:r w:rsidRPr="005C32B1">
        <w:rPr>
          <w:sz w:val="16"/>
          <w:szCs w:val="16"/>
        </w:rPr>
        <w:t xml:space="preserve"> </w:t>
      </w:r>
      <w:proofErr w:type="spellStart"/>
      <w:r w:rsidRPr="005C32B1">
        <w:rPr>
          <w:sz w:val="16"/>
          <w:szCs w:val="16"/>
        </w:rPr>
        <w:t>coeficiente</w:t>
      </w:r>
      <w:proofErr w:type="spellEnd"/>
      <w:r w:rsidRPr="005C32B1">
        <w:rPr>
          <w:sz w:val="16"/>
          <w:szCs w:val="16"/>
        </w:rPr>
        <w:t xml:space="preserve"> alfa de Cronbach.</w:t>
      </w:r>
      <w:r>
        <w:rPr>
          <w:sz w:val="16"/>
          <w:szCs w:val="16"/>
        </w:rPr>
        <w:t xml:space="preserve"> </w:t>
      </w:r>
      <w:r w:rsidRPr="005C32B1">
        <w:rPr>
          <w:sz w:val="16"/>
          <w:szCs w:val="16"/>
        </w:rPr>
        <w:t xml:space="preserve">Los </w:t>
      </w:r>
      <w:proofErr w:type="spellStart"/>
      <w:r w:rsidRPr="005C32B1">
        <w:rPr>
          <w:sz w:val="16"/>
          <w:szCs w:val="16"/>
        </w:rPr>
        <w:t>resultados</w:t>
      </w:r>
      <w:proofErr w:type="spellEnd"/>
      <w:r w:rsidRPr="005C32B1">
        <w:rPr>
          <w:sz w:val="16"/>
          <w:szCs w:val="16"/>
        </w:rPr>
        <w:t xml:space="preserve"> </w:t>
      </w:r>
      <w:proofErr w:type="spellStart"/>
      <w:r w:rsidRPr="005C32B1">
        <w:rPr>
          <w:sz w:val="16"/>
          <w:szCs w:val="16"/>
        </w:rPr>
        <w:t>fueron</w:t>
      </w:r>
      <w:proofErr w:type="spellEnd"/>
      <w:r w:rsidRPr="005C32B1">
        <w:rPr>
          <w:sz w:val="16"/>
          <w:szCs w:val="16"/>
        </w:rPr>
        <w:t xml:space="preserve"> </w:t>
      </w:r>
      <w:proofErr w:type="spellStart"/>
      <w:r w:rsidRPr="005C32B1">
        <w:rPr>
          <w:sz w:val="16"/>
          <w:szCs w:val="16"/>
        </w:rPr>
        <w:t>significativamente</w:t>
      </w:r>
      <w:proofErr w:type="spellEnd"/>
      <w:r w:rsidRPr="005C32B1">
        <w:rPr>
          <w:sz w:val="16"/>
          <w:szCs w:val="16"/>
        </w:rPr>
        <w:t xml:space="preserve"> </w:t>
      </w:r>
      <w:proofErr w:type="spellStart"/>
      <w:r w:rsidRPr="005C32B1">
        <w:rPr>
          <w:sz w:val="16"/>
          <w:szCs w:val="16"/>
        </w:rPr>
        <w:t>positivos</w:t>
      </w:r>
      <w:proofErr w:type="spellEnd"/>
      <w:r w:rsidRPr="005C32B1">
        <w:rPr>
          <w:sz w:val="16"/>
          <w:szCs w:val="16"/>
        </w:rPr>
        <w:t xml:space="preserve">. Las </w:t>
      </w:r>
      <w:proofErr w:type="spellStart"/>
      <w:r w:rsidRPr="005C32B1">
        <w:rPr>
          <w:sz w:val="16"/>
          <w:szCs w:val="16"/>
        </w:rPr>
        <w:t>competencias</w:t>
      </w:r>
      <w:proofErr w:type="spellEnd"/>
      <w:r w:rsidRPr="005C32B1">
        <w:rPr>
          <w:sz w:val="16"/>
          <w:szCs w:val="16"/>
        </w:rPr>
        <w:t xml:space="preserve"> </w:t>
      </w:r>
      <w:proofErr w:type="spellStart"/>
      <w:r w:rsidRPr="005C32B1">
        <w:rPr>
          <w:sz w:val="16"/>
          <w:szCs w:val="16"/>
        </w:rPr>
        <w:t>digitales</w:t>
      </w:r>
      <w:proofErr w:type="spellEnd"/>
      <w:r w:rsidRPr="005C32B1">
        <w:rPr>
          <w:sz w:val="16"/>
          <w:szCs w:val="16"/>
        </w:rPr>
        <w:t xml:space="preserve"> </w:t>
      </w:r>
      <w:proofErr w:type="spellStart"/>
      <w:r w:rsidRPr="005C32B1">
        <w:rPr>
          <w:sz w:val="16"/>
          <w:szCs w:val="16"/>
        </w:rPr>
        <w:t>aumentaron</w:t>
      </w:r>
      <w:proofErr w:type="spellEnd"/>
      <w:r w:rsidRPr="005C32B1">
        <w:rPr>
          <w:sz w:val="16"/>
          <w:szCs w:val="16"/>
        </w:rPr>
        <w:t xml:space="preserve"> de </w:t>
      </w:r>
      <w:proofErr w:type="spellStart"/>
      <w:r w:rsidRPr="005C32B1">
        <w:rPr>
          <w:sz w:val="16"/>
          <w:szCs w:val="16"/>
        </w:rPr>
        <w:t>una</w:t>
      </w:r>
      <w:proofErr w:type="spellEnd"/>
      <w:r w:rsidRPr="005C32B1">
        <w:rPr>
          <w:sz w:val="16"/>
          <w:szCs w:val="16"/>
        </w:rPr>
        <w:t xml:space="preserve"> media de 2,31 a 4,18; la </w:t>
      </w:r>
      <w:proofErr w:type="spellStart"/>
      <w:r w:rsidRPr="005C32B1">
        <w:rPr>
          <w:sz w:val="16"/>
          <w:szCs w:val="16"/>
        </w:rPr>
        <w:t>colaboración</w:t>
      </w:r>
      <w:proofErr w:type="spellEnd"/>
      <w:r w:rsidRPr="005C32B1">
        <w:rPr>
          <w:sz w:val="16"/>
          <w:szCs w:val="16"/>
        </w:rPr>
        <w:t xml:space="preserve"> y </w:t>
      </w:r>
      <w:proofErr w:type="spellStart"/>
      <w:r w:rsidRPr="005C32B1">
        <w:rPr>
          <w:sz w:val="16"/>
          <w:szCs w:val="16"/>
        </w:rPr>
        <w:t>comunicación</w:t>
      </w:r>
      <w:proofErr w:type="spellEnd"/>
      <w:r w:rsidRPr="005C32B1">
        <w:rPr>
          <w:sz w:val="16"/>
          <w:szCs w:val="16"/>
        </w:rPr>
        <w:t xml:space="preserve">, de 2,57 a 4,05; y la </w:t>
      </w:r>
      <w:proofErr w:type="spellStart"/>
      <w:r w:rsidRPr="005C32B1">
        <w:rPr>
          <w:sz w:val="16"/>
          <w:szCs w:val="16"/>
        </w:rPr>
        <w:t>integración</w:t>
      </w:r>
      <w:proofErr w:type="spellEnd"/>
      <w:r w:rsidRPr="005C32B1">
        <w:rPr>
          <w:sz w:val="16"/>
          <w:szCs w:val="16"/>
        </w:rPr>
        <w:t xml:space="preserve"> social, de 2,49 a 4,09. La </w:t>
      </w:r>
      <w:proofErr w:type="spellStart"/>
      <w:r w:rsidRPr="005C32B1">
        <w:rPr>
          <w:sz w:val="16"/>
          <w:szCs w:val="16"/>
        </w:rPr>
        <w:t>prueba</w:t>
      </w:r>
      <w:proofErr w:type="spellEnd"/>
      <w:r w:rsidRPr="005C32B1">
        <w:rPr>
          <w:sz w:val="16"/>
          <w:szCs w:val="16"/>
        </w:rPr>
        <w:t xml:space="preserve"> t de Student </w:t>
      </w:r>
      <w:proofErr w:type="spellStart"/>
      <w:r w:rsidRPr="005C32B1">
        <w:rPr>
          <w:sz w:val="16"/>
          <w:szCs w:val="16"/>
        </w:rPr>
        <w:t>confirmó</w:t>
      </w:r>
      <w:proofErr w:type="spellEnd"/>
      <w:r w:rsidRPr="005C32B1">
        <w:rPr>
          <w:sz w:val="16"/>
          <w:szCs w:val="16"/>
        </w:rPr>
        <w:t xml:space="preserve"> </w:t>
      </w:r>
      <w:proofErr w:type="spellStart"/>
      <w:r w:rsidRPr="005C32B1">
        <w:rPr>
          <w:sz w:val="16"/>
          <w:szCs w:val="16"/>
        </w:rPr>
        <w:t>mejoras</w:t>
      </w:r>
      <w:proofErr w:type="spellEnd"/>
      <w:r w:rsidRPr="005C32B1">
        <w:rPr>
          <w:sz w:val="16"/>
          <w:szCs w:val="16"/>
        </w:rPr>
        <w:t xml:space="preserve"> </w:t>
      </w:r>
      <w:proofErr w:type="spellStart"/>
      <w:r w:rsidRPr="005C32B1">
        <w:rPr>
          <w:sz w:val="16"/>
          <w:szCs w:val="16"/>
        </w:rPr>
        <w:t>estadísticamente</w:t>
      </w:r>
      <w:proofErr w:type="spellEnd"/>
      <w:r w:rsidRPr="005C32B1">
        <w:rPr>
          <w:sz w:val="16"/>
          <w:szCs w:val="16"/>
        </w:rPr>
        <w:t xml:space="preserve"> </w:t>
      </w:r>
      <w:proofErr w:type="spellStart"/>
      <w:r w:rsidRPr="005C32B1">
        <w:rPr>
          <w:sz w:val="16"/>
          <w:szCs w:val="16"/>
        </w:rPr>
        <w:t>significativas</w:t>
      </w:r>
      <w:proofErr w:type="spellEnd"/>
      <w:r w:rsidRPr="005C32B1">
        <w:rPr>
          <w:sz w:val="16"/>
          <w:szCs w:val="16"/>
        </w:rPr>
        <w:t xml:space="preserve"> </w:t>
      </w:r>
      <w:proofErr w:type="spellStart"/>
      <w:r w:rsidRPr="005C32B1">
        <w:rPr>
          <w:sz w:val="16"/>
          <w:szCs w:val="16"/>
        </w:rPr>
        <w:t>en</w:t>
      </w:r>
      <w:proofErr w:type="spellEnd"/>
      <w:r w:rsidRPr="005C32B1">
        <w:rPr>
          <w:sz w:val="16"/>
          <w:szCs w:val="16"/>
        </w:rPr>
        <w:t xml:space="preserve"> </w:t>
      </w:r>
      <w:proofErr w:type="spellStart"/>
      <w:r w:rsidRPr="005C32B1">
        <w:rPr>
          <w:sz w:val="16"/>
          <w:szCs w:val="16"/>
        </w:rPr>
        <w:t>todas</w:t>
      </w:r>
      <w:proofErr w:type="spellEnd"/>
      <w:r w:rsidRPr="005C32B1">
        <w:rPr>
          <w:sz w:val="16"/>
          <w:szCs w:val="16"/>
        </w:rPr>
        <w:t xml:space="preserve"> las variables, </w:t>
      </w:r>
      <w:proofErr w:type="spellStart"/>
      <w:r w:rsidRPr="005C32B1">
        <w:rPr>
          <w:sz w:val="16"/>
          <w:szCs w:val="16"/>
        </w:rPr>
        <w:t>incluyendo</w:t>
      </w:r>
      <w:proofErr w:type="spellEnd"/>
      <w:r w:rsidRPr="005C32B1">
        <w:rPr>
          <w:sz w:val="16"/>
          <w:szCs w:val="16"/>
        </w:rPr>
        <w:t xml:space="preserve"> </w:t>
      </w:r>
      <w:proofErr w:type="spellStart"/>
      <w:r w:rsidRPr="005C32B1">
        <w:rPr>
          <w:sz w:val="16"/>
          <w:szCs w:val="16"/>
        </w:rPr>
        <w:t>calidad</w:t>
      </w:r>
      <w:proofErr w:type="spellEnd"/>
      <w:r w:rsidRPr="005C32B1">
        <w:rPr>
          <w:sz w:val="16"/>
          <w:szCs w:val="16"/>
        </w:rPr>
        <w:t xml:space="preserve"> </w:t>
      </w:r>
      <w:proofErr w:type="spellStart"/>
      <w:r w:rsidRPr="005C32B1">
        <w:rPr>
          <w:sz w:val="16"/>
          <w:szCs w:val="16"/>
        </w:rPr>
        <w:t>educativa</w:t>
      </w:r>
      <w:proofErr w:type="spellEnd"/>
      <w:r w:rsidRPr="005C32B1">
        <w:rPr>
          <w:sz w:val="16"/>
          <w:szCs w:val="16"/>
        </w:rPr>
        <w:t xml:space="preserve"> </w:t>
      </w:r>
      <w:proofErr w:type="spellStart"/>
      <w:r w:rsidRPr="005C32B1">
        <w:rPr>
          <w:sz w:val="16"/>
          <w:szCs w:val="16"/>
        </w:rPr>
        <w:t>percibida</w:t>
      </w:r>
      <w:proofErr w:type="spellEnd"/>
      <w:r w:rsidRPr="005C32B1">
        <w:rPr>
          <w:sz w:val="16"/>
          <w:szCs w:val="16"/>
        </w:rPr>
        <w:t xml:space="preserve">, </w:t>
      </w:r>
      <w:proofErr w:type="spellStart"/>
      <w:r w:rsidRPr="005C32B1">
        <w:rPr>
          <w:sz w:val="16"/>
          <w:szCs w:val="16"/>
        </w:rPr>
        <w:t>participación</w:t>
      </w:r>
      <w:proofErr w:type="spellEnd"/>
      <w:r w:rsidRPr="005C32B1">
        <w:rPr>
          <w:sz w:val="16"/>
          <w:szCs w:val="16"/>
        </w:rPr>
        <w:t xml:space="preserve"> y </w:t>
      </w:r>
      <w:proofErr w:type="spellStart"/>
      <w:r w:rsidRPr="005C32B1">
        <w:rPr>
          <w:sz w:val="16"/>
          <w:szCs w:val="16"/>
        </w:rPr>
        <w:t>satisfacción</w:t>
      </w:r>
      <w:proofErr w:type="spellEnd"/>
      <w:r w:rsidRPr="005C32B1">
        <w:rPr>
          <w:sz w:val="16"/>
          <w:szCs w:val="16"/>
        </w:rPr>
        <w:t xml:space="preserve"> </w:t>
      </w:r>
      <w:proofErr w:type="spellStart"/>
      <w:r w:rsidRPr="005C32B1">
        <w:rPr>
          <w:sz w:val="16"/>
          <w:szCs w:val="16"/>
        </w:rPr>
        <w:t>estudiantil</w:t>
      </w:r>
      <w:proofErr w:type="spellEnd"/>
      <w:r w:rsidRPr="005C32B1">
        <w:rPr>
          <w:sz w:val="16"/>
          <w:szCs w:val="16"/>
        </w:rPr>
        <w:t>.</w:t>
      </w:r>
      <w:r>
        <w:rPr>
          <w:sz w:val="16"/>
          <w:szCs w:val="16"/>
        </w:rPr>
        <w:t xml:space="preserve"> </w:t>
      </w:r>
      <w:r w:rsidRPr="005C32B1">
        <w:rPr>
          <w:sz w:val="16"/>
          <w:szCs w:val="16"/>
        </w:rPr>
        <w:t xml:space="preserve">El </w:t>
      </w:r>
      <w:proofErr w:type="spellStart"/>
      <w:r w:rsidRPr="005C32B1">
        <w:rPr>
          <w:sz w:val="16"/>
          <w:szCs w:val="16"/>
        </w:rPr>
        <w:t>estudio</w:t>
      </w:r>
      <w:proofErr w:type="spellEnd"/>
      <w:r w:rsidRPr="005C32B1">
        <w:rPr>
          <w:sz w:val="16"/>
          <w:szCs w:val="16"/>
        </w:rPr>
        <w:t xml:space="preserve"> </w:t>
      </w:r>
      <w:proofErr w:type="spellStart"/>
      <w:r w:rsidRPr="005C32B1">
        <w:rPr>
          <w:sz w:val="16"/>
          <w:szCs w:val="16"/>
        </w:rPr>
        <w:t>concluye</w:t>
      </w:r>
      <w:proofErr w:type="spellEnd"/>
      <w:r w:rsidRPr="005C32B1">
        <w:rPr>
          <w:sz w:val="16"/>
          <w:szCs w:val="16"/>
        </w:rPr>
        <w:t xml:space="preserve"> que un </w:t>
      </w:r>
      <w:proofErr w:type="spellStart"/>
      <w:r w:rsidRPr="005C32B1">
        <w:rPr>
          <w:sz w:val="16"/>
          <w:szCs w:val="16"/>
        </w:rPr>
        <w:t>sistema</w:t>
      </w:r>
      <w:proofErr w:type="spellEnd"/>
      <w:r w:rsidRPr="005C32B1">
        <w:rPr>
          <w:sz w:val="16"/>
          <w:szCs w:val="16"/>
        </w:rPr>
        <w:t xml:space="preserve"> de </w:t>
      </w:r>
      <w:proofErr w:type="spellStart"/>
      <w:r w:rsidRPr="005C32B1">
        <w:rPr>
          <w:sz w:val="16"/>
          <w:szCs w:val="16"/>
        </w:rPr>
        <w:t>tutoría</w:t>
      </w:r>
      <w:proofErr w:type="spellEnd"/>
      <w:r w:rsidRPr="005C32B1">
        <w:rPr>
          <w:sz w:val="16"/>
          <w:szCs w:val="16"/>
        </w:rPr>
        <w:t xml:space="preserve"> integral y bien </w:t>
      </w:r>
      <w:proofErr w:type="spellStart"/>
      <w:r w:rsidRPr="005C32B1">
        <w:rPr>
          <w:sz w:val="16"/>
          <w:szCs w:val="16"/>
        </w:rPr>
        <w:t>estructurado</w:t>
      </w:r>
      <w:proofErr w:type="spellEnd"/>
      <w:r w:rsidRPr="005C32B1">
        <w:rPr>
          <w:sz w:val="16"/>
          <w:szCs w:val="16"/>
        </w:rPr>
        <w:t xml:space="preserve"> no solo </w:t>
      </w:r>
      <w:proofErr w:type="spellStart"/>
      <w:r w:rsidRPr="005C32B1">
        <w:rPr>
          <w:sz w:val="16"/>
          <w:szCs w:val="16"/>
        </w:rPr>
        <w:t>mejora</w:t>
      </w:r>
      <w:proofErr w:type="spellEnd"/>
      <w:r w:rsidRPr="005C32B1">
        <w:rPr>
          <w:sz w:val="16"/>
          <w:szCs w:val="16"/>
        </w:rPr>
        <w:t xml:space="preserve"> </w:t>
      </w:r>
      <w:proofErr w:type="spellStart"/>
      <w:r w:rsidRPr="005C32B1">
        <w:rPr>
          <w:sz w:val="16"/>
          <w:szCs w:val="16"/>
        </w:rPr>
        <w:t>el</w:t>
      </w:r>
      <w:proofErr w:type="spellEnd"/>
      <w:r w:rsidRPr="005C32B1">
        <w:rPr>
          <w:sz w:val="16"/>
          <w:szCs w:val="16"/>
        </w:rPr>
        <w:t xml:space="preserve"> </w:t>
      </w:r>
      <w:proofErr w:type="spellStart"/>
      <w:r w:rsidRPr="005C32B1">
        <w:rPr>
          <w:sz w:val="16"/>
          <w:szCs w:val="16"/>
        </w:rPr>
        <w:t>rendimiento</w:t>
      </w:r>
      <w:proofErr w:type="spellEnd"/>
      <w:r w:rsidRPr="005C32B1">
        <w:rPr>
          <w:sz w:val="16"/>
          <w:szCs w:val="16"/>
        </w:rPr>
        <w:t xml:space="preserve"> </w:t>
      </w:r>
      <w:proofErr w:type="spellStart"/>
      <w:r w:rsidRPr="005C32B1">
        <w:rPr>
          <w:sz w:val="16"/>
          <w:szCs w:val="16"/>
        </w:rPr>
        <w:t>académico</w:t>
      </w:r>
      <w:proofErr w:type="spellEnd"/>
      <w:r w:rsidRPr="005C32B1">
        <w:rPr>
          <w:sz w:val="16"/>
          <w:szCs w:val="16"/>
        </w:rPr>
        <w:t xml:space="preserve">, </w:t>
      </w:r>
      <w:proofErr w:type="spellStart"/>
      <w:r w:rsidRPr="005C32B1">
        <w:rPr>
          <w:sz w:val="16"/>
          <w:szCs w:val="16"/>
        </w:rPr>
        <w:t>sino</w:t>
      </w:r>
      <w:proofErr w:type="spellEnd"/>
      <w:r w:rsidRPr="005C32B1">
        <w:rPr>
          <w:sz w:val="16"/>
          <w:szCs w:val="16"/>
        </w:rPr>
        <w:t xml:space="preserve"> que </w:t>
      </w:r>
      <w:proofErr w:type="spellStart"/>
      <w:r w:rsidRPr="005C32B1">
        <w:rPr>
          <w:sz w:val="16"/>
          <w:szCs w:val="16"/>
        </w:rPr>
        <w:t>también</w:t>
      </w:r>
      <w:proofErr w:type="spellEnd"/>
      <w:r w:rsidRPr="005C32B1">
        <w:rPr>
          <w:sz w:val="16"/>
          <w:szCs w:val="16"/>
        </w:rPr>
        <w:t xml:space="preserve"> </w:t>
      </w:r>
      <w:proofErr w:type="spellStart"/>
      <w:r w:rsidRPr="005C32B1">
        <w:rPr>
          <w:sz w:val="16"/>
          <w:szCs w:val="16"/>
        </w:rPr>
        <w:t>impacta</w:t>
      </w:r>
      <w:proofErr w:type="spellEnd"/>
      <w:r w:rsidRPr="005C32B1">
        <w:rPr>
          <w:sz w:val="16"/>
          <w:szCs w:val="16"/>
        </w:rPr>
        <w:t xml:space="preserve"> </w:t>
      </w:r>
      <w:proofErr w:type="spellStart"/>
      <w:r w:rsidRPr="005C32B1">
        <w:rPr>
          <w:sz w:val="16"/>
          <w:szCs w:val="16"/>
        </w:rPr>
        <w:t>positivamente</w:t>
      </w:r>
      <w:proofErr w:type="spellEnd"/>
      <w:r w:rsidRPr="005C32B1">
        <w:rPr>
          <w:sz w:val="16"/>
          <w:szCs w:val="16"/>
        </w:rPr>
        <w:t xml:space="preserve"> </w:t>
      </w:r>
      <w:proofErr w:type="spellStart"/>
      <w:r w:rsidRPr="005C32B1">
        <w:rPr>
          <w:sz w:val="16"/>
          <w:szCs w:val="16"/>
        </w:rPr>
        <w:t>en</w:t>
      </w:r>
      <w:proofErr w:type="spellEnd"/>
      <w:r w:rsidRPr="005C32B1">
        <w:rPr>
          <w:sz w:val="16"/>
          <w:szCs w:val="16"/>
        </w:rPr>
        <w:t xml:space="preserve"> </w:t>
      </w:r>
      <w:proofErr w:type="spellStart"/>
      <w:r w:rsidRPr="005C32B1">
        <w:rPr>
          <w:sz w:val="16"/>
          <w:szCs w:val="16"/>
        </w:rPr>
        <w:t>el</w:t>
      </w:r>
      <w:proofErr w:type="spellEnd"/>
      <w:r w:rsidRPr="005C32B1">
        <w:rPr>
          <w:sz w:val="16"/>
          <w:szCs w:val="16"/>
        </w:rPr>
        <w:t xml:space="preserve"> </w:t>
      </w:r>
      <w:proofErr w:type="spellStart"/>
      <w:r w:rsidRPr="005C32B1">
        <w:rPr>
          <w:sz w:val="16"/>
          <w:szCs w:val="16"/>
        </w:rPr>
        <w:t>desarrollo</w:t>
      </w:r>
      <w:proofErr w:type="spellEnd"/>
      <w:r w:rsidRPr="005C32B1">
        <w:rPr>
          <w:sz w:val="16"/>
          <w:szCs w:val="16"/>
        </w:rPr>
        <w:t xml:space="preserve"> </w:t>
      </w:r>
      <w:proofErr w:type="spellStart"/>
      <w:r w:rsidRPr="005C32B1">
        <w:rPr>
          <w:sz w:val="16"/>
          <w:szCs w:val="16"/>
        </w:rPr>
        <w:t>socioemocional</w:t>
      </w:r>
      <w:proofErr w:type="spellEnd"/>
      <w:r w:rsidRPr="005C32B1">
        <w:rPr>
          <w:sz w:val="16"/>
          <w:szCs w:val="16"/>
        </w:rPr>
        <w:t xml:space="preserve"> y </w:t>
      </w:r>
      <w:proofErr w:type="spellStart"/>
      <w:r w:rsidRPr="005C32B1">
        <w:rPr>
          <w:sz w:val="16"/>
          <w:szCs w:val="16"/>
        </w:rPr>
        <w:t>tecnológico</w:t>
      </w:r>
      <w:proofErr w:type="spellEnd"/>
      <w:r w:rsidRPr="005C32B1">
        <w:rPr>
          <w:sz w:val="16"/>
          <w:szCs w:val="16"/>
        </w:rPr>
        <w:t xml:space="preserve">. Se </w:t>
      </w:r>
      <w:proofErr w:type="spellStart"/>
      <w:r w:rsidRPr="005C32B1">
        <w:rPr>
          <w:sz w:val="16"/>
          <w:szCs w:val="16"/>
        </w:rPr>
        <w:t>recomienda</w:t>
      </w:r>
      <w:proofErr w:type="spellEnd"/>
      <w:r w:rsidRPr="005C32B1">
        <w:rPr>
          <w:sz w:val="16"/>
          <w:szCs w:val="16"/>
        </w:rPr>
        <w:t xml:space="preserve"> </w:t>
      </w:r>
      <w:proofErr w:type="spellStart"/>
      <w:r w:rsidRPr="005C32B1">
        <w:rPr>
          <w:sz w:val="16"/>
          <w:szCs w:val="16"/>
        </w:rPr>
        <w:t>su</w:t>
      </w:r>
      <w:proofErr w:type="spellEnd"/>
      <w:r w:rsidRPr="005C32B1">
        <w:rPr>
          <w:sz w:val="16"/>
          <w:szCs w:val="16"/>
        </w:rPr>
        <w:t xml:space="preserve"> </w:t>
      </w:r>
      <w:proofErr w:type="spellStart"/>
      <w:r w:rsidRPr="005C32B1">
        <w:rPr>
          <w:sz w:val="16"/>
          <w:szCs w:val="16"/>
        </w:rPr>
        <w:t>institucionalización</w:t>
      </w:r>
      <w:proofErr w:type="spellEnd"/>
      <w:r w:rsidRPr="005C32B1">
        <w:rPr>
          <w:sz w:val="16"/>
          <w:szCs w:val="16"/>
        </w:rPr>
        <w:t xml:space="preserve"> para </w:t>
      </w:r>
      <w:proofErr w:type="spellStart"/>
      <w:r w:rsidRPr="005C32B1">
        <w:rPr>
          <w:sz w:val="16"/>
          <w:szCs w:val="16"/>
        </w:rPr>
        <w:t>garantizar</w:t>
      </w:r>
      <w:proofErr w:type="spellEnd"/>
      <w:r w:rsidRPr="005C32B1">
        <w:rPr>
          <w:sz w:val="16"/>
          <w:szCs w:val="16"/>
        </w:rPr>
        <w:t xml:space="preserve"> un </w:t>
      </w:r>
      <w:proofErr w:type="spellStart"/>
      <w:r w:rsidRPr="005C32B1">
        <w:rPr>
          <w:sz w:val="16"/>
          <w:szCs w:val="16"/>
        </w:rPr>
        <w:t>acompañamiento</w:t>
      </w:r>
      <w:proofErr w:type="spellEnd"/>
      <w:r w:rsidRPr="005C32B1">
        <w:rPr>
          <w:sz w:val="16"/>
          <w:szCs w:val="16"/>
        </w:rPr>
        <w:t xml:space="preserve"> continuo y </w:t>
      </w:r>
      <w:proofErr w:type="spellStart"/>
      <w:r w:rsidRPr="005C32B1">
        <w:rPr>
          <w:sz w:val="16"/>
          <w:szCs w:val="16"/>
        </w:rPr>
        <w:t>sostenible</w:t>
      </w:r>
      <w:proofErr w:type="spellEnd"/>
      <w:r w:rsidRPr="005C32B1">
        <w:rPr>
          <w:sz w:val="16"/>
          <w:szCs w:val="16"/>
        </w:rPr>
        <w:t xml:space="preserve">, </w:t>
      </w:r>
      <w:proofErr w:type="spellStart"/>
      <w:r w:rsidRPr="005C32B1">
        <w:rPr>
          <w:sz w:val="16"/>
          <w:szCs w:val="16"/>
        </w:rPr>
        <w:t>posicionando</w:t>
      </w:r>
      <w:proofErr w:type="spellEnd"/>
      <w:r w:rsidRPr="005C32B1">
        <w:rPr>
          <w:sz w:val="16"/>
          <w:szCs w:val="16"/>
        </w:rPr>
        <w:t xml:space="preserve"> la </w:t>
      </w:r>
      <w:proofErr w:type="spellStart"/>
      <w:r w:rsidRPr="005C32B1">
        <w:rPr>
          <w:sz w:val="16"/>
          <w:szCs w:val="16"/>
        </w:rPr>
        <w:t>tutoría</w:t>
      </w:r>
      <w:proofErr w:type="spellEnd"/>
      <w:r w:rsidRPr="005C32B1">
        <w:rPr>
          <w:sz w:val="16"/>
          <w:szCs w:val="16"/>
        </w:rPr>
        <w:t xml:space="preserve"> digital </w:t>
      </w:r>
      <w:proofErr w:type="spellStart"/>
      <w:r w:rsidRPr="005C32B1">
        <w:rPr>
          <w:sz w:val="16"/>
          <w:szCs w:val="16"/>
        </w:rPr>
        <w:t>como</w:t>
      </w:r>
      <w:proofErr w:type="spellEnd"/>
      <w:r w:rsidRPr="005C32B1">
        <w:rPr>
          <w:sz w:val="16"/>
          <w:szCs w:val="16"/>
        </w:rPr>
        <w:t xml:space="preserve"> </w:t>
      </w:r>
      <w:proofErr w:type="spellStart"/>
      <w:r w:rsidRPr="005C32B1">
        <w:rPr>
          <w:sz w:val="16"/>
          <w:szCs w:val="16"/>
        </w:rPr>
        <w:t>herramienta</w:t>
      </w:r>
      <w:proofErr w:type="spellEnd"/>
      <w:r w:rsidRPr="005C32B1">
        <w:rPr>
          <w:sz w:val="16"/>
          <w:szCs w:val="16"/>
        </w:rPr>
        <w:t xml:space="preserve"> </w:t>
      </w:r>
      <w:proofErr w:type="spellStart"/>
      <w:r w:rsidRPr="005C32B1">
        <w:rPr>
          <w:sz w:val="16"/>
          <w:szCs w:val="16"/>
        </w:rPr>
        <w:t>estratégica</w:t>
      </w:r>
      <w:proofErr w:type="spellEnd"/>
      <w:r w:rsidRPr="005C32B1">
        <w:rPr>
          <w:sz w:val="16"/>
          <w:szCs w:val="16"/>
        </w:rPr>
        <w:t xml:space="preserve"> para </w:t>
      </w:r>
      <w:proofErr w:type="spellStart"/>
      <w:r w:rsidRPr="005C32B1">
        <w:rPr>
          <w:sz w:val="16"/>
          <w:szCs w:val="16"/>
        </w:rPr>
        <w:t>fortalecer</w:t>
      </w:r>
      <w:proofErr w:type="spellEnd"/>
      <w:r w:rsidRPr="005C32B1">
        <w:rPr>
          <w:sz w:val="16"/>
          <w:szCs w:val="16"/>
        </w:rPr>
        <w:t xml:space="preserve"> la </w:t>
      </w:r>
      <w:proofErr w:type="spellStart"/>
      <w:r w:rsidRPr="005C32B1">
        <w:rPr>
          <w:sz w:val="16"/>
          <w:szCs w:val="16"/>
        </w:rPr>
        <w:t>formación</w:t>
      </w:r>
      <w:proofErr w:type="spellEnd"/>
      <w:r w:rsidRPr="005C32B1">
        <w:rPr>
          <w:sz w:val="16"/>
          <w:szCs w:val="16"/>
        </w:rPr>
        <w:t xml:space="preserve"> </w:t>
      </w:r>
      <w:proofErr w:type="spellStart"/>
      <w:r w:rsidRPr="005C32B1">
        <w:rPr>
          <w:sz w:val="16"/>
          <w:szCs w:val="16"/>
        </w:rPr>
        <w:t>profesional</w:t>
      </w:r>
      <w:proofErr w:type="spellEnd"/>
      <w:r w:rsidRPr="005C32B1">
        <w:rPr>
          <w:sz w:val="16"/>
          <w:szCs w:val="16"/>
        </w:rPr>
        <w:t xml:space="preserve"> y </w:t>
      </w:r>
      <w:proofErr w:type="spellStart"/>
      <w:r w:rsidRPr="005C32B1">
        <w:rPr>
          <w:sz w:val="16"/>
          <w:szCs w:val="16"/>
        </w:rPr>
        <w:t>reducir</w:t>
      </w:r>
      <w:proofErr w:type="spellEnd"/>
      <w:r w:rsidRPr="005C32B1">
        <w:rPr>
          <w:sz w:val="16"/>
          <w:szCs w:val="16"/>
        </w:rPr>
        <w:t xml:space="preserve"> la </w:t>
      </w:r>
      <w:proofErr w:type="spellStart"/>
      <w:r w:rsidRPr="005C32B1">
        <w:rPr>
          <w:sz w:val="16"/>
          <w:szCs w:val="16"/>
        </w:rPr>
        <w:t>deserción</w:t>
      </w:r>
      <w:proofErr w:type="spellEnd"/>
      <w:r w:rsidRPr="005C32B1">
        <w:rPr>
          <w:sz w:val="16"/>
          <w:szCs w:val="16"/>
        </w:rPr>
        <w:t>.</w:t>
      </w:r>
    </w:p>
    <w:p w14:paraId="59622366" w14:textId="2895C56A" w:rsidR="00726E42" w:rsidRDefault="00000000" w:rsidP="005C32B1">
      <w:pPr>
        <w:pBdr>
          <w:bottom w:val="single" w:sz="12" w:space="1" w:color="000000"/>
        </w:pBdr>
        <w:spacing w:before="120" w:after="120" w:line="240" w:lineRule="auto"/>
        <w:jc w:val="both"/>
        <w:rPr>
          <w:color w:val="000000"/>
          <w:sz w:val="16"/>
          <w:szCs w:val="16"/>
          <w:lang w:val="es-ES"/>
        </w:rPr>
      </w:pPr>
      <w:r>
        <w:rPr>
          <w:b/>
          <w:bCs/>
          <w:sz w:val="16"/>
          <w:szCs w:val="16"/>
        </w:rPr>
        <w:t>Palabras Clave</w:t>
      </w:r>
      <w:r>
        <w:rPr>
          <w:sz w:val="16"/>
          <w:szCs w:val="16"/>
        </w:rPr>
        <w:t xml:space="preserve">: </w:t>
      </w:r>
      <w:proofErr w:type="spellStart"/>
      <w:r w:rsidR="005C32B1" w:rsidRPr="005C32B1">
        <w:rPr>
          <w:sz w:val="16"/>
          <w:szCs w:val="16"/>
        </w:rPr>
        <w:t>tutoría</w:t>
      </w:r>
      <w:proofErr w:type="spellEnd"/>
      <w:r w:rsidR="005C32B1" w:rsidRPr="005C32B1">
        <w:rPr>
          <w:sz w:val="16"/>
          <w:szCs w:val="16"/>
        </w:rPr>
        <w:t xml:space="preserve"> digital </w:t>
      </w:r>
      <w:proofErr w:type="spellStart"/>
      <w:r w:rsidR="005C32B1" w:rsidRPr="005C32B1">
        <w:rPr>
          <w:sz w:val="16"/>
          <w:szCs w:val="16"/>
        </w:rPr>
        <w:t>multiplataforma</w:t>
      </w:r>
      <w:proofErr w:type="spellEnd"/>
      <w:r w:rsidR="005C32B1">
        <w:rPr>
          <w:sz w:val="16"/>
          <w:szCs w:val="16"/>
        </w:rPr>
        <w:t xml:space="preserve">, </w:t>
      </w:r>
      <w:proofErr w:type="spellStart"/>
      <w:r w:rsidR="005C32B1" w:rsidRPr="005C32B1">
        <w:rPr>
          <w:sz w:val="16"/>
          <w:szCs w:val="16"/>
        </w:rPr>
        <w:t>rendimiento</w:t>
      </w:r>
      <w:proofErr w:type="spellEnd"/>
      <w:r w:rsidR="005C32B1" w:rsidRPr="005C32B1">
        <w:rPr>
          <w:sz w:val="16"/>
          <w:szCs w:val="16"/>
        </w:rPr>
        <w:t xml:space="preserve"> </w:t>
      </w:r>
      <w:proofErr w:type="spellStart"/>
      <w:r w:rsidR="005C32B1" w:rsidRPr="005C32B1">
        <w:rPr>
          <w:sz w:val="16"/>
          <w:szCs w:val="16"/>
        </w:rPr>
        <w:t>académico</w:t>
      </w:r>
      <w:proofErr w:type="spellEnd"/>
      <w:r w:rsidR="005C32B1">
        <w:rPr>
          <w:sz w:val="16"/>
          <w:szCs w:val="16"/>
        </w:rPr>
        <w:t xml:space="preserve">, </w:t>
      </w:r>
      <w:proofErr w:type="spellStart"/>
      <w:r w:rsidR="005C32B1" w:rsidRPr="005C32B1">
        <w:rPr>
          <w:sz w:val="16"/>
          <w:szCs w:val="16"/>
        </w:rPr>
        <w:t>deserción</w:t>
      </w:r>
      <w:proofErr w:type="spellEnd"/>
      <w:r w:rsidR="005C32B1" w:rsidRPr="005C32B1">
        <w:rPr>
          <w:sz w:val="16"/>
          <w:szCs w:val="16"/>
        </w:rPr>
        <w:t xml:space="preserve"> </w:t>
      </w:r>
      <w:proofErr w:type="spellStart"/>
      <w:r w:rsidR="005C32B1" w:rsidRPr="005C32B1">
        <w:rPr>
          <w:sz w:val="16"/>
          <w:szCs w:val="16"/>
        </w:rPr>
        <w:t>estudiantil</w:t>
      </w:r>
      <w:proofErr w:type="spellEnd"/>
      <w:r w:rsidR="005C32B1">
        <w:rPr>
          <w:sz w:val="16"/>
          <w:szCs w:val="16"/>
        </w:rPr>
        <w:t xml:space="preserve">, </w:t>
      </w:r>
      <w:proofErr w:type="spellStart"/>
      <w:r w:rsidR="005C32B1" w:rsidRPr="005C32B1">
        <w:rPr>
          <w:sz w:val="16"/>
          <w:szCs w:val="16"/>
        </w:rPr>
        <w:t>competencias</w:t>
      </w:r>
      <w:proofErr w:type="spellEnd"/>
      <w:r w:rsidR="005C32B1" w:rsidRPr="005C32B1">
        <w:rPr>
          <w:sz w:val="16"/>
          <w:szCs w:val="16"/>
        </w:rPr>
        <w:t xml:space="preserve"> </w:t>
      </w:r>
      <w:proofErr w:type="spellStart"/>
      <w:r w:rsidR="005C32B1" w:rsidRPr="005C32B1">
        <w:rPr>
          <w:sz w:val="16"/>
          <w:szCs w:val="16"/>
        </w:rPr>
        <w:t>digitales</w:t>
      </w:r>
      <w:proofErr w:type="spellEnd"/>
      <w:r w:rsidR="005C32B1">
        <w:rPr>
          <w:sz w:val="16"/>
          <w:szCs w:val="16"/>
        </w:rPr>
        <w:t xml:space="preserve">, </w:t>
      </w:r>
      <w:proofErr w:type="spellStart"/>
      <w:r w:rsidR="005C32B1" w:rsidRPr="005C32B1">
        <w:rPr>
          <w:sz w:val="16"/>
          <w:szCs w:val="16"/>
        </w:rPr>
        <w:t>integración</w:t>
      </w:r>
      <w:proofErr w:type="spellEnd"/>
      <w:r w:rsidR="005C32B1" w:rsidRPr="005C32B1">
        <w:rPr>
          <w:sz w:val="16"/>
          <w:szCs w:val="16"/>
        </w:rPr>
        <w:t xml:space="preserve"> social</w:t>
      </w:r>
      <w:r w:rsidR="005C32B1">
        <w:rPr>
          <w:sz w:val="16"/>
          <w:szCs w:val="16"/>
        </w:rPr>
        <w:t xml:space="preserve">, </w:t>
      </w:r>
      <w:proofErr w:type="spellStart"/>
      <w:r w:rsidR="005C32B1" w:rsidRPr="005C32B1">
        <w:rPr>
          <w:sz w:val="16"/>
          <w:szCs w:val="16"/>
        </w:rPr>
        <w:t>educación</w:t>
      </w:r>
      <w:proofErr w:type="spellEnd"/>
      <w:r w:rsidR="005C32B1" w:rsidRPr="005C32B1">
        <w:rPr>
          <w:sz w:val="16"/>
          <w:szCs w:val="16"/>
        </w:rPr>
        <w:t xml:space="preserve"> superior </w:t>
      </w:r>
      <w:proofErr w:type="spellStart"/>
      <w:r w:rsidR="005C32B1" w:rsidRPr="005C32B1">
        <w:rPr>
          <w:sz w:val="16"/>
          <w:szCs w:val="16"/>
        </w:rPr>
        <w:t>inclusiva</w:t>
      </w:r>
      <w:proofErr w:type="spellEnd"/>
      <w:r w:rsidR="005C32B1">
        <w:rPr>
          <w:sz w:val="16"/>
          <w:szCs w:val="16"/>
        </w:rPr>
        <w:t>.</w:t>
      </w:r>
    </w:p>
    <w:p w14:paraId="24F4D699" w14:textId="77777777" w:rsidR="00726E42" w:rsidRDefault="00000000">
      <w:pPr>
        <w:pStyle w:val="Subttulo"/>
        <w:rPr>
          <w:i w:val="0"/>
          <w:sz w:val="24"/>
          <w:szCs w:val="24"/>
        </w:rPr>
      </w:pPr>
      <w:r>
        <w:rPr>
          <w:i w:val="0"/>
          <w:sz w:val="24"/>
          <w:szCs w:val="24"/>
          <w:lang w:val="es-PE"/>
        </w:rPr>
        <w:t xml:space="preserve"> </w:t>
      </w:r>
      <w:r>
        <w:rPr>
          <w:i w:val="0"/>
          <w:sz w:val="24"/>
          <w:szCs w:val="24"/>
        </w:rPr>
        <w:t>Abstract</w:t>
      </w:r>
    </w:p>
    <w:p w14:paraId="01C922C3" w14:textId="77777777" w:rsidR="00655364" w:rsidRPr="00655364" w:rsidRDefault="00655364" w:rsidP="00655364">
      <w:pPr>
        <w:pBdr>
          <w:bottom w:val="single" w:sz="12" w:space="1" w:color="000000"/>
        </w:pBdr>
        <w:spacing w:before="120" w:after="120" w:line="240" w:lineRule="auto"/>
        <w:jc w:val="both"/>
        <w:rPr>
          <w:color w:val="000000"/>
          <w:sz w:val="16"/>
          <w:szCs w:val="16"/>
        </w:rPr>
      </w:pPr>
      <w:r w:rsidRPr="00655364">
        <w:rPr>
          <w:color w:val="000000"/>
          <w:sz w:val="16"/>
          <w:szCs w:val="16"/>
        </w:rPr>
        <w:t xml:space="preserve">The Faculty of Engineering at the Universidad Peruana Los Andes (UPLA) has historically faced problems of low academic performance and student dropout, exacerbated by the absence of effective pedagogical monitoring mechanisms. The previous tutoring system, fragmented among professional schools, motivated the implementation of a unified and technologically advanced multiplatform model. The research adopted a hybrid methodology with a pre-experimental action-research approach, using a single-group design with before-and-after measurements. The population consisted of students with low academic performance. Surveys, direct observation, and document review were used, and the reliability of the instruments was validated by the Cronbach's alpha coefficient. The results were significantly positive. Digital competencies increased from a mean of 2.31 to 4.18; collaboration and communication, from 2.57 to 4.05; and social integration, from 2.49 to 4.09. The </w:t>
      </w:r>
      <w:proofErr w:type="gramStart"/>
      <w:r w:rsidRPr="00655364">
        <w:rPr>
          <w:color w:val="000000"/>
          <w:sz w:val="16"/>
          <w:szCs w:val="16"/>
        </w:rPr>
        <w:t>Student's</w:t>
      </w:r>
      <w:proofErr w:type="gramEnd"/>
      <w:r w:rsidRPr="00655364">
        <w:rPr>
          <w:color w:val="000000"/>
          <w:sz w:val="16"/>
          <w:szCs w:val="16"/>
        </w:rPr>
        <w:t xml:space="preserve"> t-test confirmed statistically significant improvements in all variables, including perceived educational quality, participation, and student satisfaction. The study concludes that a comprehensive and well-structured tutoring system not only improves academic performance but also positively impacts socio-emotional and technological development. Its institutionalization is recommended to ensure continuous and sustainable support, positioning digital tutoring as a strategic tool to strengthen professional training and reduce dropout.</w:t>
      </w:r>
    </w:p>
    <w:p w14:paraId="1BD19C27" w14:textId="1C474DBC" w:rsidR="00726E42" w:rsidRPr="00655364" w:rsidRDefault="00655364" w:rsidP="00655364">
      <w:pPr>
        <w:pBdr>
          <w:bottom w:val="single" w:sz="12" w:space="1" w:color="000000"/>
        </w:pBdr>
        <w:spacing w:before="120" w:after="120" w:line="240" w:lineRule="auto"/>
        <w:jc w:val="both"/>
        <w:rPr>
          <w:color w:val="000000"/>
          <w:sz w:val="16"/>
          <w:szCs w:val="16"/>
        </w:rPr>
      </w:pPr>
      <w:r w:rsidRPr="00655364">
        <w:rPr>
          <w:b/>
          <w:bCs/>
          <w:color w:val="000000"/>
          <w:sz w:val="16"/>
          <w:szCs w:val="16"/>
        </w:rPr>
        <w:t xml:space="preserve">Keywords: </w:t>
      </w:r>
      <w:r w:rsidRPr="00655364">
        <w:rPr>
          <w:color w:val="000000"/>
          <w:sz w:val="16"/>
          <w:szCs w:val="16"/>
        </w:rPr>
        <w:t>multiplatform digital tutoring, academic performance, student dropout, digital competencies, social integration, inclusive higher education.</w:t>
      </w:r>
    </w:p>
    <w:tbl>
      <w:tblPr>
        <w:tblStyle w:val="Style58"/>
        <w:tblW w:w="5000" w:type="pct"/>
        <w:tblInd w:w="0" w:type="dxa"/>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1564"/>
        <w:gridCol w:w="1560"/>
        <w:gridCol w:w="1575"/>
        <w:gridCol w:w="1562"/>
        <w:gridCol w:w="1564"/>
        <w:gridCol w:w="1563"/>
      </w:tblGrid>
      <w:tr w:rsidR="00726E42" w14:paraId="4609BC7E" w14:textId="77777777">
        <w:tc>
          <w:tcPr>
            <w:tcW w:w="834" w:type="pct"/>
          </w:tcPr>
          <w:p w14:paraId="5360516B" w14:textId="77777777" w:rsidR="00726E42" w:rsidRDefault="00000000">
            <w:pPr>
              <w:spacing w:after="0" w:line="240" w:lineRule="auto"/>
              <w:jc w:val="both"/>
              <w:rPr>
                <w:sz w:val="16"/>
                <w:szCs w:val="16"/>
              </w:rPr>
            </w:pPr>
            <w:proofErr w:type="spellStart"/>
            <w:r>
              <w:rPr>
                <w:sz w:val="16"/>
                <w:szCs w:val="16"/>
              </w:rPr>
              <w:t>Recibido</w:t>
            </w:r>
            <w:proofErr w:type="spellEnd"/>
            <w:r>
              <w:rPr>
                <w:sz w:val="16"/>
                <w:szCs w:val="16"/>
              </w:rPr>
              <w:t>/Received</w:t>
            </w:r>
          </w:p>
        </w:tc>
        <w:tc>
          <w:tcPr>
            <w:tcW w:w="832" w:type="pct"/>
          </w:tcPr>
          <w:p w14:paraId="31205A20" w14:textId="77777777" w:rsidR="00726E42" w:rsidRDefault="00000000">
            <w:pPr>
              <w:spacing w:after="0" w:line="240" w:lineRule="auto"/>
              <w:jc w:val="center"/>
              <w:rPr>
                <w:sz w:val="16"/>
                <w:szCs w:val="16"/>
                <w:lang w:val="es-ES"/>
              </w:rPr>
            </w:pPr>
            <w:r>
              <w:rPr>
                <w:sz w:val="16"/>
                <w:szCs w:val="16"/>
                <w:lang w:val="es-ES"/>
              </w:rPr>
              <w:t>02-04-2025</w:t>
            </w:r>
          </w:p>
        </w:tc>
        <w:tc>
          <w:tcPr>
            <w:tcW w:w="834" w:type="pct"/>
          </w:tcPr>
          <w:p w14:paraId="412E58D0" w14:textId="77777777" w:rsidR="00726E42" w:rsidRDefault="00000000">
            <w:pPr>
              <w:spacing w:after="0" w:line="240" w:lineRule="auto"/>
              <w:jc w:val="both"/>
              <w:rPr>
                <w:sz w:val="16"/>
                <w:szCs w:val="16"/>
              </w:rPr>
            </w:pPr>
            <w:proofErr w:type="spellStart"/>
            <w:r>
              <w:rPr>
                <w:sz w:val="16"/>
                <w:szCs w:val="16"/>
              </w:rPr>
              <w:t>Aprobado</w:t>
            </w:r>
            <w:proofErr w:type="spellEnd"/>
            <w:r>
              <w:rPr>
                <w:sz w:val="16"/>
                <w:szCs w:val="16"/>
              </w:rPr>
              <w:t>/Approved</w:t>
            </w:r>
          </w:p>
        </w:tc>
        <w:tc>
          <w:tcPr>
            <w:tcW w:w="833" w:type="pct"/>
          </w:tcPr>
          <w:p w14:paraId="2A11FF93" w14:textId="77777777" w:rsidR="00726E42" w:rsidRDefault="00000000">
            <w:pPr>
              <w:spacing w:after="0" w:line="240" w:lineRule="auto"/>
              <w:jc w:val="center"/>
              <w:rPr>
                <w:sz w:val="16"/>
                <w:szCs w:val="16"/>
                <w:lang w:val="es-ES"/>
              </w:rPr>
            </w:pPr>
            <w:r>
              <w:rPr>
                <w:sz w:val="16"/>
                <w:szCs w:val="16"/>
                <w:lang w:val="es-ES"/>
              </w:rPr>
              <w:t>23-07-2055</w:t>
            </w:r>
          </w:p>
        </w:tc>
        <w:tc>
          <w:tcPr>
            <w:tcW w:w="834" w:type="pct"/>
          </w:tcPr>
          <w:p w14:paraId="0F868658" w14:textId="77777777" w:rsidR="00726E42" w:rsidRDefault="00000000">
            <w:pPr>
              <w:spacing w:after="0" w:line="240" w:lineRule="auto"/>
              <w:jc w:val="both"/>
              <w:rPr>
                <w:sz w:val="16"/>
                <w:szCs w:val="16"/>
              </w:rPr>
            </w:pPr>
            <w:proofErr w:type="spellStart"/>
            <w:r>
              <w:rPr>
                <w:sz w:val="16"/>
                <w:szCs w:val="16"/>
              </w:rPr>
              <w:t>Publicado</w:t>
            </w:r>
            <w:proofErr w:type="spellEnd"/>
            <w:r>
              <w:rPr>
                <w:sz w:val="16"/>
                <w:szCs w:val="16"/>
              </w:rPr>
              <w:t>/Published</w:t>
            </w:r>
          </w:p>
        </w:tc>
        <w:tc>
          <w:tcPr>
            <w:tcW w:w="833" w:type="pct"/>
          </w:tcPr>
          <w:p w14:paraId="36DC8C93" w14:textId="77777777" w:rsidR="00726E42" w:rsidRDefault="00000000">
            <w:pPr>
              <w:spacing w:after="0" w:line="240" w:lineRule="auto"/>
              <w:jc w:val="center"/>
              <w:rPr>
                <w:sz w:val="16"/>
                <w:szCs w:val="16"/>
                <w:lang w:val="es-ES"/>
              </w:rPr>
            </w:pPr>
            <w:r>
              <w:rPr>
                <w:sz w:val="16"/>
                <w:szCs w:val="16"/>
                <w:lang w:val="es-ES"/>
              </w:rPr>
              <w:t>24-07-2025</w:t>
            </w:r>
          </w:p>
        </w:tc>
      </w:tr>
    </w:tbl>
    <w:p w14:paraId="7E91067C" w14:textId="77777777" w:rsidR="00726E42" w:rsidRDefault="00000000">
      <w:bookmarkStart w:id="4" w:name="_Hlk187833485"/>
      <w:r>
        <w:br w:type="page"/>
      </w:r>
    </w:p>
    <w:p w14:paraId="1CB2C5A6" w14:textId="77777777" w:rsidR="00726E42" w:rsidRDefault="00000000">
      <w:pPr>
        <w:pStyle w:val="Ttulo2"/>
        <w:tabs>
          <w:tab w:val="center" w:pos="4702"/>
          <w:tab w:val="left" w:pos="5600"/>
          <w:tab w:val="left" w:pos="8565"/>
        </w:tabs>
      </w:pPr>
      <w:r>
        <w:lastRenderedPageBreak/>
        <w:t>Introducción</w:t>
      </w:r>
      <w:r>
        <w:tab/>
      </w:r>
      <w:r>
        <w:tab/>
      </w:r>
      <w:r>
        <w:tab/>
      </w:r>
    </w:p>
    <w:bookmarkEnd w:id="4"/>
    <w:p w14:paraId="11553BDD" w14:textId="77777777" w:rsidR="00726E42" w:rsidRDefault="00000000">
      <w:pPr>
        <w:spacing w:beforeLines="50" w:before="120" w:after="0" w:line="240" w:lineRule="auto"/>
        <w:ind w:firstLine="720"/>
        <w:jc w:val="both"/>
        <w:rPr>
          <w:color w:val="000000"/>
          <w:lang w:val="es-PE"/>
        </w:rPr>
      </w:pPr>
      <w:r>
        <w:rPr>
          <w:color w:val="000000"/>
          <w:lang w:val="es-PE"/>
        </w:rPr>
        <w:t>En el marco del aseguramiento de la calidad educativa en el nivel superior, la Universidad Peruana Los Andes (UPLA) ha asumido el compromiso institucional de fortalecer la excelencia académica y optimizar sus procesos formativos en todas las disciplinas que ofrece. No obstante, este afán se ve parcialmente opacado por una problemática persistente en la Facultad de Ingeniería: la fragilidad de los mecanismos de fiscalización pedagógica</w:t>
      </w:r>
      <w:r>
        <w:rPr>
          <w:color w:val="000000"/>
          <w:lang w:val="es-ES"/>
        </w:rPr>
        <w:t>,</w:t>
      </w:r>
      <w:r>
        <w:rPr>
          <w:color w:val="000000"/>
          <w:lang w:val="es-PE"/>
        </w:rPr>
        <w:t xml:space="preserve"> </w:t>
      </w:r>
      <w:sdt>
        <w:sdtPr>
          <w:rPr>
            <w:color w:val="000000"/>
            <w:lang w:val="es-PE"/>
          </w:rPr>
          <w:tag w:val="MENDELEY_CITATION_v3_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"/>
          <w:id w:val="-296381875"/>
          <w:placeholder>
            <w:docPart w:val="DefaultPlaceholder_-1854013440"/>
          </w:placeholder>
        </w:sdtPr>
        <w:sdtContent>
          <w:r>
            <w:rPr>
              <w:color w:val="000000"/>
              <w:lang w:val="es-PE"/>
            </w:rPr>
            <w:t>(Palominos et al., 2018)</w:t>
          </w:r>
        </w:sdtContent>
      </w:sdt>
      <w:r>
        <w:rPr>
          <w:color w:val="000000"/>
          <w:lang w:val="es-PE"/>
        </w:rPr>
        <w:t xml:space="preserve">respecto al seguimiento de los estudiantes con matrícula condicionada por bajo rendimiento académico (Toapanta </w:t>
      </w:r>
      <w:proofErr w:type="spellStart"/>
      <w:r>
        <w:rPr>
          <w:color w:val="000000"/>
          <w:lang w:val="es-PE"/>
        </w:rPr>
        <w:t>Pullutasig</w:t>
      </w:r>
      <w:proofErr w:type="spellEnd"/>
      <w:r>
        <w:rPr>
          <w:color w:val="000000"/>
          <w:lang w:val="es-PE"/>
        </w:rPr>
        <w:t xml:space="preserve"> et al., 2024). Esta situación revela una alarmante ineficacia en la progresión formativa de una proporción significativa del estudiantado, que queda estancado en reiteradas oportunidades de matrícula sin lograr una mejora sustantiva en su desempeño (Serrano-García et al., 2025a).</w:t>
      </w:r>
    </w:p>
    <w:p w14:paraId="0DE63680" w14:textId="77777777" w:rsidR="00726E42" w:rsidRDefault="00000000">
      <w:pPr>
        <w:spacing w:beforeLines="50" w:before="120" w:after="0" w:line="240" w:lineRule="auto"/>
        <w:ind w:firstLine="720"/>
        <w:jc w:val="both"/>
        <w:rPr>
          <w:color w:val="000000"/>
          <w:lang w:val="es-PE"/>
        </w:rPr>
      </w:pPr>
      <w:r>
        <w:rPr>
          <w:color w:val="000000"/>
          <w:lang w:val="es-PE"/>
        </w:rPr>
        <w:t xml:space="preserve">El fenómeno responde a una multiplicidad de causas, tanto internas como externas. En el plano institucional, la carencia de herramientas digitales especializadas para monitorear de forma integral el itinerario académico de los estudiantes impide a los directores de escuela profesional y jefes de departamento ejercer una supervisión eficiente. En muchos casos, esta labor se reduce al uso de hojas de cálculo en Microsoft Excel, lo que limita la sistematización de la información y obstaculiza el análisis longitudinal del rendimiento estudiantil (Muñoz Andrade, 2024) </w:t>
      </w:r>
      <w:sdt>
        <w:sdtPr>
          <w:rPr>
            <w:color w:val="000000"/>
            <w:lang w:val="es-PE"/>
          </w:rPr>
          <w:tag w:val="MENDELEY_CITATION_v3_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"/>
          <w:id w:val="1557823198"/>
          <w:placeholder>
            <w:docPart w:val="DefaultPlaceholder_-1854013440"/>
          </w:placeholder>
        </w:sdtPr>
        <w:sdtContent>
          <w:r>
            <w:rPr>
              <w:color w:val="000000"/>
              <w:lang w:val="es-PE"/>
            </w:rPr>
            <w:t>(Iñiguez-Monroy et al., 2024b)</w:t>
          </w:r>
        </w:sdtContent>
      </w:sdt>
      <w:r>
        <w:rPr>
          <w:color w:val="000000"/>
          <w:lang w:val="es-PE"/>
        </w:rPr>
        <w:t>. A ello se suma la restricción en el acceso a bases de datos académicas, lo cual fuerza a las autoridades responsables a reconstruir manualmente los reportes al cierre de cada ciclo, dificultando la generación de diagnósticos oportunos y el diseño de estrategias preventivas (</w:t>
      </w:r>
      <w:proofErr w:type="spellStart"/>
      <w:r>
        <w:rPr>
          <w:color w:val="000000"/>
          <w:lang w:val="es-PE"/>
        </w:rPr>
        <w:t>Giuria</w:t>
      </w:r>
      <w:proofErr w:type="spellEnd"/>
      <w:r>
        <w:rPr>
          <w:color w:val="000000"/>
          <w:lang w:val="es-PE"/>
        </w:rPr>
        <w:t>-Farías et al., 2022).</w:t>
      </w:r>
    </w:p>
    <w:p w14:paraId="53C57C3A" w14:textId="77777777" w:rsidR="00726E42" w:rsidRDefault="00000000">
      <w:pPr>
        <w:spacing w:beforeLines="50" w:before="120" w:after="0" w:line="240" w:lineRule="auto"/>
        <w:ind w:firstLine="720"/>
        <w:jc w:val="both"/>
        <w:rPr>
          <w:color w:val="000000"/>
          <w:lang w:val="es-PE"/>
        </w:rPr>
      </w:pPr>
      <w:r>
        <w:rPr>
          <w:color w:val="000000"/>
          <w:lang w:val="es-PE"/>
        </w:rPr>
        <w:t xml:space="preserve">Adicionalmente, el acompañamiento estudiantil a través de programas de tutoría universitaria no ha alcanzado el impacto esperado. Aunque en el año 2015 la Facultad de Ingeniería implementó un Reglamento de Tutoría Universitaria, este se limitó exclusivamente al seguimiento académico, descuidando las dimensiones personal-social y profesional (Serna Loaiza et al., 2024) </w:t>
      </w:r>
      <w:sdt>
        <w:sdtPr>
          <w:rPr>
            <w:color w:val="000000"/>
            <w:lang w:val="es-PE"/>
          </w:rPr>
          <w:tag w:val="MENDELEY_CITATION_v3_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"/>
          <w:id w:val="-1666399170"/>
          <w:placeholder>
            <w:docPart w:val="DefaultPlaceholder_-1854013440"/>
          </w:placeholder>
        </w:sdtPr>
        <w:sdtContent>
          <w:r>
            <w:rPr>
              <w:color w:val="000000"/>
              <w:lang w:val="es-PE"/>
            </w:rPr>
            <w:t>(Ortiz-Padilla et al., 2020)</w:t>
          </w:r>
        </w:sdtContent>
      </w:sdt>
      <w:r>
        <w:rPr>
          <w:color w:val="000000"/>
          <w:lang w:val="es-PE"/>
        </w:rPr>
        <w:t>. Como resultado, la acción tutorial se redujo a un enfoque correctivo de los problemas académicos inmediatos, sin abordar las causas estructurales del bajo desempeño ni articular un acompañamiento integral que promueva la permanencia y culminación exitosa de la trayectoria universitaria (Serrano-García et al., 2025a).</w:t>
      </w:r>
    </w:p>
    <w:p w14:paraId="5A3BB1F5" w14:textId="77777777" w:rsidR="00726E42" w:rsidRDefault="00000000">
      <w:pPr>
        <w:spacing w:beforeLines="50" w:before="120" w:after="0" w:line="240" w:lineRule="auto"/>
        <w:ind w:firstLine="720"/>
        <w:jc w:val="both"/>
        <w:rPr>
          <w:color w:val="000000"/>
          <w:lang w:val="es-PE"/>
        </w:rPr>
      </w:pPr>
      <w:r>
        <w:rPr>
          <w:color w:val="000000"/>
          <w:lang w:val="es-PE"/>
        </w:rPr>
        <w:t>El informe presentado ante el Vicerrectorado Académico durante el proceso de licenciamiento institucional evidenció serias deficiencias en la organización, sistematización y registro de las actividades tutoriales, lo que puso en riesgo la acreditación institucional. Este hallazgo reflejó una debilidad estructural en la articulación de los esfuerzos tutoriales a nivel facultativo, donde cada escuela profesional operaba de forma aislada, sin una plataforma unificada ni criterios homogéneos de intervención (</w:t>
      </w:r>
      <w:proofErr w:type="gramStart"/>
      <w:r>
        <w:rPr>
          <w:color w:val="000000"/>
          <w:lang w:val="es-PE"/>
        </w:rPr>
        <w:t>Coronel</w:t>
      </w:r>
      <w:proofErr w:type="gramEnd"/>
      <w:r>
        <w:rPr>
          <w:color w:val="000000"/>
          <w:lang w:val="es-PE"/>
        </w:rPr>
        <w:t xml:space="preserve"> &amp; Segura, 2018).</w:t>
      </w:r>
    </w:p>
    <w:p w14:paraId="3F26EBA1" w14:textId="77777777" w:rsidR="00726E42" w:rsidRDefault="00000000">
      <w:pPr>
        <w:spacing w:beforeLines="50" w:before="120" w:after="0" w:line="240" w:lineRule="auto"/>
        <w:ind w:firstLine="720"/>
        <w:jc w:val="both"/>
        <w:rPr>
          <w:color w:val="000000"/>
          <w:lang w:val="es-PE"/>
        </w:rPr>
      </w:pPr>
      <w:r>
        <w:rPr>
          <w:color w:val="000000"/>
          <w:lang w:val="es-PE"/>
        </w:rPr>
        <w:t xml:space="preserve">En este contexto, se constata que la deserción académica y el bajo rendimiento de los estudiantes de la Facultad de Ingeniería </w:t>
      </w:r>
      <w:r>
        <w:rPr>
          <w:color w:val="000000"/>
          <w:lang w:val="es-ES"/>
        </w:rPr>
        <w:t xml:space="preserve">de la </w:t>
      </w:r>
      <w:r>
        <w:rPr>
          <w:color w:val="000000"/>
          <w:lang w:val="es-PE"/>
        </w:rPr>
        <w:t>UPLA, especialmente en asignaturas cuantitativas como matemáticas y física, son manifestaciones sintomáticas de un sistema tutorial inconexo y carente de soporte tecnológico. Las estadísticas internas revelan un número preocupante de estudiantes que repiten cursos por tercera vez, lo que, además de reflejar un bajo rendimiento, conlleva actitudes de apatía, ausentismo y desmotivación generalizada (</w:t>
      </w:r>
      <w:proofErr w:type="spellStart"/>
      <w:r>
        <w:rPr>
          <w:color w:val="000000"/>
          <w:lang w:val="es-PE"/>
        </w:rPr>
        <w:t>Ramirez</w:t>
      </w:r>
      <w:proofErr w:type="spellEnd"/>
      <w:r>
        <w:rPr>
          <w:color w:val="000000"/>
          <w:lang w:val="es-PE"/>
        </w:rPr>
        <w:t xml:space="preserve"> </w:t>
      </w:r>
      <w:proofErr w:type="spellStart"/>
      <w:r>
        <w:rPr>
          <w:color w:val="000000"/>
          <w:lang w:val="es-PE"/>
        </w:rPr>
        <w:t>Mongui</w:t>
      </w:r>
      <w:proofErr w:type="spellEnd"/>
      <w:r>
        <w:rPr>
          <w:color w:val="000000"/>
          <w:lang w:val="es-PE"/>
        </w:rPr>
        <w:t xml:space="preserve"> &amp; Dávila Arias, 2022). La presencia de “zonas deficitarias del saber”, así como la carencia de hábitos de estudio, metas personales y orientación profesional, conforman un entramado complejo de factores que requieren una atención integral (Castrillón &amp; </w:t>
      </w:r>
      <w:proofErr w:type="gramStart"/>
      <w:r>
        <w:rPr>
          <w:color w:val="000000"/>
          <w:lang w:val="es-PE"/>
        </w:rPr>
        <w:t>Gallego</w:t>
      </w:r>
      <w:proofErr w:type="gramEnd"/>
      <w:r>
        <w:rPr>
          <w:color w:val="000000"/>
          <w:lang w:val="es-PE"/>
        </w:rPr>
        <w:t>, 2019).</w:t>
      </w:r>
    </w:p>
    <w:p w14:paraId="532A6158" w14:textId="163DAE98" w:rsidR="00726E42" w:rsidRDefault="00000000">
      <w:pPr>
        <w:spacing w:beforeLines="50" w:before="120" w:after="0" w:line="240" w:lineRule="auto"/>
        <w:ind w:firstLine="720"/>
        <w:jc w:val="both"/>
        <w:rPr>
          <w:color w:val="000000"/>
          <w:lang w:val="es-PE"/>
        </w:rPr>
      </w:pPr>
      <w:r>
        <w:rPr>
          <w:color w:val="000000"/>
          <w:lang w:val="es-PE"/>
        </w:rPr>
        <w:t xml:space="preserve">Ante esta realidad, se plantea la necesidad de transformar la actual estructura tutorial en una Red Sistémica de Tutoría Universitaria, sustentada en un enfoque multicanal que articule las </w:t>
      </w:r>
      <w:r w:rsidR="00A902B4">
        <w:rPr>
          <w:color w:val="000000"/>
          <w:lang w:val="es-PE"/>
        </w:rPr>
        <w:t>dimensiones académicas</w:t>
      </w:r>
      <w:r>
        <w:rPr>
          <w:color w:val="000000"/>
          <w:lang w:val="es-PE"/>
        </w:rPr>
        <w:t>, personal-social y profesional (Carrera Garofalo et al., 2024)</w:t>
      </w:r>
      <w:sdt>
        <w:sdtPr>
          <w:rPr>
            <w:color w:val="000000"/>
            <w:lang w:val="es-PE"/>
          </w:rPr>
          <w:tag w:val="MENDELEY_CITATION_v3_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"/>
          <w:id w:val="-1860956938"/>
          <w:placeholder>
            <w:docPart w:val="DefaultPlaceholder_-1854013440"/>
          </w:placeholder>
        </w:sdtPr>
        <w:sdtContent>
          <w:r>
            <w:rPr>
              <w:rFonts w:eastAsia="Times New Roman"/>
              <w:color w:val="000000"/>
            </w:rPr>
            <w:t>(Herrera-</w:t>
          </w:r>
          <w:proofErr w:type="spellStart"/>
          <w:r>
            <w:rPr>
              <w:rFonts w:eastAsia="Times New Roman"/>
              <w:color w:val="000000"/>
            </w:rPr>
            <w:t>Núñez</w:t>
          </w:r>
          <w:proofErr w:type="spellEnd"/>
          <w:r>
            <w:rPr>
              <w:rFonts w:eastAsia="Times New Roman"/>
              <w:color w:val="000000"/>
            </w:rPr>
            <w:t xml:space="preserve"> &amp; González-Campos, 2019)</w:t>
          </w:r>
        </w:sdtContent>
      </w:sdt>
      <w:r>
        <w:rPr>
          <w:color w:val="000000"/>
          <w:lang w:val="es-PE"/>
        </w:rPr>
        <w:t xml:space="preserve">. Esta transformación implica la creación de un sistema digital especializado, la capacitación continua del personal involucrado, la asignación presupuestaria suficiente y el diseño de protocolos unificados que garanticen el seguimiento efectivo de los estudiantes desde el ingreso hasta su titulación (Serrano-García et al., 2025b) </w:t>
      </w:r>
      <w:sdt>
        <w:sdtPr>
          <w:rPr>
            <w:color w:val="000000"/>
            <w:lang w:val="es-PE"/>
          </w:rPr>
          <w:tag w:val="MENDELEY_CITATION_v3_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"/>
          <w:id w:val="-1976357112"/>
          <w:placeholder>
            <w:docPart w:val="DefaultPlaceholder_-1854013440"/>
          </w:placeholder>
        </w:sdtPr>
        <w:sdtContent>
          <w:r>
            <w:rPr>
              <w:color w:val="000000"/>
              <w:lang w:val="es-PE"/>
            </w:rPr>
            <w:t>(Soria-Barreto et al., 2024)</w:t>
          </w:r>
        </w:sdtContent>
      </w:sdt>
      <w:r>
        <w:rPr>
          <w:color w:val="000000"/>
          <w:lang w:val="es-PE"/>
        </w:rPr>
        <w:t>.</w:t>
      </w:r>
    </w:p>
    <w:p w14:paraId="1BE54F5A" w14:textId="77777777" w:rsidR="00726E42" w:rsidRDefault="00000000">
      <w:pPr>
        <w:spacing w:beforeLines="50" w:before="120" w:after="0" w:line="240" w:lineRule="auto"/>
        <w:ind w:firstLine="720"/>
        <w:jc w:val="both"/>
        <w:rPr>
          <w:color w:val="000000"/>
          <w:lang w:val="es-PE"/>
        </w:rPr>
      </w:pPr>
      <w:r>
        <w:rPr>
          <w:color w:val="000000"/>
          <w:lang w:val="es-PE"/>
        </w:rPr>
        <w:lastRenderedPageBreak/>
        <w:t xml:space="preserve">La tutoría universitaria, concebida como una estrategia formativa de acompañamiento permanente, debe configurarse como un componente transversal en los planes de estudio y en la gestión académica de la universidad </w:t>
      </w:r>
      <w:sdt>
        <w:sdtPr>
          <w:rPr>
            <w:color w:val="000000"/>
            <w:lang w:val="es-PE"/>
          </w:rPr>
          <w:tag w:val="MENDELEY_CITATION_v3_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"/>
          <w:id w:val="-819107240"/>
          <w:placeholder>
            <w:docPart w:val="DefaultPlaceholder_-1854013440"/>
          </w:placeholder>
        </w:sdtPr>
        <w:sdtContent>
          <w:r>
            <w:rPr>
              <w:color w:val="000000"/>
              <w:lang w:val="es-PE"/>
            </w:rPr>
            <w:t>(Iñiguez-Monroy et al., 2024a; Muñoz et al., 2025)</w:t>
          </w:r>
        </w:sdtContent>
      </w:sdt>
      <w:r>
        <w:rPr>
          <w:color w:val="000000"/>
          <w:lang w:val="es-PE"/>
        </w:rPr>
        <w:t>. Su finalidad no solo es mejorar el rendimiento académico de los estudiantes, sino también fortalecer su desarrollo integral, prevenir la deserción y elevar la tasa de egresados y titulados. Por tanto, esta investigación busca identificar los factores limitantes actuales y proponer un modelo de intervención tutorial sistémico y sostenible que responda a las exigencias de calidad educativa y contribuya a la formación de profesionales competentes y socialmente comprometidos</w:t>
      </w:r>
      <w:r>
        <w:rPr>
          <w:bCs/>
          <w:color w:val="000000" w:themeColor="text1"/>
        </w:rPr>
        <w:t>.</w:t>
      </w:r>
    </w:p>
    <w:p w14:paraId="4721F621" w14:textId="77777777" w:rsidR="00726E42" w:rsidRDefault="00000000">
      <w:pPr>
        <w:spacing w:beforeLines="100" w:before="240" w:afterLines="50" w:after="120" w:line="240" w:lineRule="auto"/>
        <w:rPr>
          <w:b/>
          <w:bCs/>
          <w:sz w:val="24"/>
          <w:szCs w:val="24"/>
          <w:lang w:val="es-PE"/>
        </w:rPr>
      </w:pPr>
      <w:r>
        <w:rPr>
          <w:b/>
          <w:bCs/>
          <w:sz w:val="24"/>
          <w:szCs w:val="24"/>
          <w:lang w:val="es-PE"/>
        </w:rPr>
        <w:t>Materiales y métodos</w:t>
      </w:r>
    </w:p>
    <w:p w14:paraId="7CEC1FEF" w14:textId="77777777" w:rsidR="00726E42" w:rsidRDefault="00000000">
      <w:pPr>
        <w:pStyle w:val="NormalWeb"/>
        <w:spacing w:before="120" w:beforeAutospacing="0" w:after="0" w:afterAutospacing="0"/>
        <w:ind w:firstLine="720"/>
        <w:jc w:val="both"/>
        <w:rPr>
          <w:rFonts w:ascii="Calibri" w:hAnsi="Calibri" w:cs="Calibri"/>
          <w:sz w:val="22"/>
          <w:szCs w:val="22"/>
        </w:rPr>
      </w:pPr>
      <w:r>
        <w:rPr>
          <w:rFonts w:ascii="Calibri" w:hAnsi="Calibri" w:cs="Calibri"/>
          <w:sz w:val="22"/>
          <w:szCs w:val="22"/>
        </w:rPr>
        <w:t>El presente estudio empleó una metodología híbrida, que combinó enfoques cuantitativos y cualitativos para abordar la problemática de la matrícula condicionada en los estudiantes de la Facultad de Ingeniería de la UPLA. El diseño se basó en el procedimiento epistémico, un enfoque estructurado que busca contrastar teorías y transformar la realidad (Mago Ramos &amp; Rocha Pachón, 2021)</w:t>
      </w:r>
      <w:r>
        <w:rPr>
          <w:rFonts w:ascii="Calibri" w:hAnsi="Calibri" w:cs="Calibri"/>
          <w:sz w:val="22"/>
          <w:szCs w:val="22"/>
          <w:lang w:val="es-ES"/>
        </w:rPr>
        <w:t>, mediante</w:t>
      </w:r>
      <w:r>
        <w:rPr>
          <w:rFonts w:ascii="Calibri" w:hAnsi="Calibri" w:cs="Calibri"/>
          <w:sz w:val="22"/>
          <w:szCs w:val="22"/>
        </w:rPr>
        <w:t xml:space="preserve"> un razonamiento inferencial convergente, integrando el método deductivo para aplicar soluciones generales a casos específicos (Serrano-García et al., 2025; Vicencio Leyton, 2018) y el método inductivo para generar conclusiones a partir de observaciones particulares (Cedeño-Barreto et al., 2023).</w:t>
      </w:r>
    </w:p>
    <w:p w14:paraId="09920CC3" w14:textId="77777777" w:rsidR="00726E42" w:rsidRDefault="00000000">
      <w:pPr>
        <w:pStyle w:val="Ttulo3"/>
        <w:spacing w:after="0"/>
        <w:ind w:firstLine="720"/>
        <w:jc w:val="both"/>
        <w:rPr>
          <w:bCs/>
          <w:i w:val="0"/>
          <w:iCs/>
        </w:rPr>
      </w:pPr>
      <w:r>
        <w:rPr>
          <w:bCs/>
          <w:i w:val="0"/>
          <w:iCs/>
        </w:rPr>
        <w:t xml:space="preserve">Tipo, </w:t>
      </w:r>
      <w:proofErr w:type="spellStart"/>
      <w:r>
        <w:rPr>
          <w:bCs/>
          <w:i w:val="0"/>
          <w:iCs/>
        </w:rPr>
        <w:t>nivel</w:t>
      </w:r>
      <w:proofErr w:type="spellEnd"/>
      <w:r>
        <w:rPr>
          <w:bCs/>
          <w:i w:val="0"/>
          <w:iCs/>
        </w:rPr>
        <w:t xml:space="preserve"> y </w:t>
      </w:r>
      <w:proofErr w:type="spellStart"/>
      <w:r>
        <w:rPr>
          <w:bCs/>
          <w:i w:val="0"/>
          <w:iCs/>
        </w:rPr>
        <w:t>diseño</w:t>
      </w:r>
      <w:proofErr w:type="spellEnd"/>
      <w:r>
        <w:rPr>
          <w:bCs/>
          <w:i w:val="0"/>
          <w:iCs/>
        </w:rPr>
        <w:t xml:space="preserve"> de la </w:t>
      </w:r>
      <w:proofErr w:type="spellStart"/>
      <w:r>
        <w:rPr>
          <w:bCs/>
          <w:i w:val="0"/>
          <w:iCs/>
        </w:rPr>
        <w:t>investigación</w:t>
      </w:r>
      <w:proofErr w:type="spellEnd"/>
    </w:p>
    <w:p w14:paraId="43004EE9" w14:textId="77777777" w:rsidR="00726E42" w:rsidRDefault="00000000">
      <w:pPr>
        <w:pStyle w:val="NormalWeb"/>
        <w:spacing w:before="120" w:beforeAutospacing="0" w:after="0" w:afterAutospacing="0"/>
        <w:ind w:firstLine="720"/>
        <w:jc w:val="both"/>
        <w:rPr>
          <w:rFonts w:ascii="Calibri" w:hAnsi="Calibri" w:cs="Calibri"/>
          <w:sz w:val="22"/>
          <w:szCs w:val="22"/>
        </w:rPr>
      </w:pPr>
      <w:r>
        <w:rPr>
          <w:rFonts w:ascii="Calibri" w:hAnsi="Calibri" w:cs="Calibri"/>
          <w:sz w:val="22"/>
          <w:szCs w:val="22"/>
        </w:rPr>
        <w:t>La investigación se clasificó como aplicada</w:t>
      </w:r>
      <w:r>
        <w:rPr>
          <w:rFonts w:ascii="Calibri" w:hAnsi="Calibri" w:cs="Calibri"/>
          <w:sz w:val="22"/>
          <w:szCs w:val="22"/>
          <w:lang w:val="es-ES"/>
        </w:rPr>
        <w:t xml:space="preserve"> y nivel </w:t>
      </w:r>
      <w:r>
        <w:rPr>
          <w:rFonts w:ascii="Calibri" w:hAnsi="Calibri" w:cs="Calibri"/>
          <w:sz w:val="22"/>
          <w:szCs w:val="22"/>
        </w:rPr>
        <w:t>descriptivo-explicativo</w:t>
      </w:r>
      <w:r>
        <w:rPr>
          <w:rFonts w:ascii="Calibri" w:hAnsi="Calibri" w:cs="Calibri"/>
          <w:sz w:val="22"/>
          <w:szCs w:val="22"/>
          <w:lang w:val="es-ES"/>
        </w:rPr>
        <w:t xml:space="preserve"> </w:t>
      </w:r>
      <w:r>
        <w:rPr>
          <w:rFonts w:ascii="Calibri" w:hAnsi="Calibri" w:cs="Calibri"/>
          <w:sz w:val="22"/>
          <w:szCs w:val="22"/>
        </w:rPr>
        <w:t xml:space="preserve">(Murillo, 2008; Arias González, 2020). El diseño fue </w:t>
      </w:r>
      <w:proofErr w:type="spellStart"/>
      <w:r>
        <w:rPr>
          <w:rFonts w:ascii="Calibri" w:hAnsi="Calibri" w:cs="Calibri"/>
          <w:sz w:val="22"/>
          <w:szCs w:val="22"/>
        </w:rPr>
        <w:t>pre-experimental</w:t>
      </w:r>
      <w:proofErr w:type="spellEnd"/>
      <w:r>
        <w:rPr>
          <w:rFonts w:ascii="Calibri" w:hAnsi="Calibri" w:cs="Calibri"/>
          <w:sz w:val="22"/>
          <w:szCs w:val="22"/>
        </w:rPr>
        <w:t>, implementando un sistema de tutoría multicanal (Carrera Garofalo et al., 2024; Cruz Sangurima et al., 2024). Este diseño incluyó mediciones pre y post intervención en un solo grupo, sin grupo de control ni aleatorización. El método de investigación principal fue la investigación-acción, que se centró en la participación activa de los involucrados en un ciclo continuo de diagnóstico, planificación, acción y evaluación.</w:t>
      </w:r>
    </w:p>
    <w:p w14:paraId="7DE011B7" w14:textId="77777777" w:rsidR="00726E42" w:rsidRDefault="00000000">
      <w:pPr>
        <w:pStyle w:val="Ttulo3"/>
        <w:spacing w:after="0"/>
        <w:ind w:firstLine="720"/>
        <w:jc w:val="both"/>
        <w:rPr>
          <w:bCs/>
          <w:i w:val="0"/>
          <w:iCs/>
        </w:rPr>
      </w:pPr>
      <w:r>
        <w:rPr>
          <w:bCs/>
          <w:i w:val="0"/>
          <w:iCs/>
        </w:rPr>
        <w:t xml:space="preserve">Población, </w:t>
      </w:r>
      <w:proofErr w:type="spellStart"/>
      <w:r>
        <w:rPr>
          <w:bCs/>
          <w:i w:val="0"/>
          <w:iCs/>
        </w:rPr>
        <w:t>muestra</w:t>
      </w:r>
      <w:proofErr w:type="spellEnd"/>
      <w:r>
        <w:rPr>
          <w:bCs/>
          <w:i w:val="0"/>
          <w:iCs/>
        </w:rPr>
        <w:t xml:space="preserve"> e </w:t>
      </w:r>
      <w:proofErr w:type="spellStart"/>
      <w:r>
        <w:rPr>
          <w:bCs/>
          <w:i w:val="0"/>
          <w:iCs/>
        </w:rPr>
        <w:t>instrumentos</w:t>
      </w:r>
      <w:proofErr w:type="spellEnd"/>
    </w:p>
    <w:p w14:paraId="181487DA" w14:textId="77777777" w:rsidR="00726E42" w:rsidRDefault="00000000">
      <w:pPr>
        <w:pStyle w:val="NormalWeb"/>
        <w:spacing w:before="120" w:beforeAutospacing="0" w:after="0" w:afterAutospacing="0"/>
        <w:ind w:firstLine="720"/>
        <w:jc w:val="both"/>
        <w:rPr>
          <w:rFonts w:ascii="Calibri" w:hAnsi="Calibri" w:cs="Calibri"/>
          <w:sz w:val="22"/>
          <w:szCs w:val="22"/>
        </w:rPr>
      </w:pPr>
      <w:r>
        <w:rPr>
          <w:rFonts w:ascii="Calibri" w:hAnsi="Calibri" w:cs="Calibri"/>
          <w:sz w:val="22"/>
          <w:szCs w:val="22"/>
        </w:rPr>
        <w:t>La población del estudio incluyó a todos los estudiantes de la Facultad de Ingeniería de la UPLA con matrícula condicionada. Se seleccionó una muestra intencional no probabilística, priorizando a los estudiantes que cumplían con criterios de conveniencia y relevancia para la intervención (Cruz Sangurima et al., 2024).</w:t>
      </w:r>
    </w:p>
    <w:p w14:paraId="66AC7F19" w14:textId="77777777" w:rsidR="00726E42" w:rsidRDefault="00000000">
      <w:pPr>
        <w:pStyle w:val="NormalWeb"/>
        <w:spacing w:before="120" w:beforeAutospacing="0" w:after="0" w:afterAutospacing="0"/>
        <w:ind w:firstLine="720"/>
        <w:jc w:val="both"/>
        <w:rPr>
          <w:rFonts w:ascii="Calibri" w:hAnsi="Calibri" w:cs="Calibri"/>
          <w:sz w:val="22"/>
          <w:szCs w:val="22"/>
        </w:rPr>
      </w:pPr>
      <w:r>
        <w:rPr>
          <w:rFonts w:ascii="Calibri" w:hAnsi="Calibri" w:cs="Calibri"/>
          <w:sz w:val="22"/>
          <w:szCs w:val="22"/>
        </w:rPr>
        <w:t xml:space="preserve">Se emplearon tres técnicas para la recolección de datos: encuesta, observación directa y revisión documental. La validez de los instrumentos se verificó mediante juicio de expertos, y su fiabilidad se determinó usando el coeficiente alfa de Cronbach, considerando un valor superior a 0,70 como aceptable. El análisis de los datos se llevó a cabo utilizando estadística descriptiva y codificación temática cualitativa (Roncal </w:t>
      </w:r>
      <w:proofErr w:type="spellStart"/>
      <w:r>
        <w:rPr>
          <w:rFonts w:ascii="Calibri" w:hAnsi="Calibri" w:cs="Calibri"/>
          <w:sz w:val="22"/>
          <w:szCs w:val="22"/>
        </w:rPr>
        <w:t>Teran</w:t>
      </w:r>
      <w:proofErr w:type="spellEnd"/>
      <w:r>
        <w:rPr>
          <w:rFonts w:ascii="Calibri" w:hAnsi="Calibri" w:cs="Calibri"/>
          <w:sz w:val="22"/>
          <w:szCs w:val="22"/>
        </w:rPr>
        <w:t xml:space="preserve"> et al., 2024).</w:t>
      </w:r>
    </w:p>
    <w:p w14:paraId="0294D82C" w14:textId="77777777" w:rsidR="00726E42" w:rsidRDefault="00000000">
      <w:pPr>
        <w:pStyle w:val="Ttulo3"/>
        <w:spacing w:after="0"/>
        <w:ind w:firstLine="720"/>
        <w:jc w:val="both"/>
        <w:rPr>
          <w:bCs/>
          <w:i w:val="0"/>
          <w:iCs/>
        </w:rPr>
      </w:pPr>
      <w:proofErr w:type="spellStart"/>
      <w:r>
        <w:rPr>
          <w:bCs/>
          <w:i w:val="0"/>
          <w:iCs/>
        </w:rPr>
        <w:t>Consideraciones</w:t>
      </w:r>
      <w:proofErr w:type="spellEnd"/>
      <w:r>
        <w:rPr>
          <w:bCs/>
          <w:i w:val="0"/>
          <w:iCs/>
        </w:rPr>
        <w:t xml:space="preserve"> </w:t>
      </w:r>
      <w:proofErr w:type="spellStart"/>
      <w:r>
        <w:rPr>
          <w:bCs/>
          <w:i w:val="0"/>
          <w:iCs/>
        </w:rPr>
        <w:t>éticas</w:t>
      </w:r>
      <w:proofErr w:type="spellEnd"/>
    </w:p>
    <w:p w14:paraId="2335CDA7" w14:textId="77777777" w:rsidR="00726E42" w:rsidRDefault="00000000">
      <w:pPr>
        <w:pStyle w:val="NormalWeb"/>
        <w:spacing w:before="120" w:beforeAutospacing="0" w:after="0" w:afterAutospacing="0"/>
        <w:ind w:firstLine="720"/>
        <w:jc w:val="both"/>
        <w:rPr>
          <w:rFonts w:ascii="Calibri" w:hAnsi="Calibri" w:cs="Calibri"/>
          <w:sz w:val="22"/>
          <w:szCs w:val="22"/>
        </w:rPr>
      </w:pPr>
      <w:r>
        <w:rPr>
          <w:rFonts w:ascii="Calibri" w:hAnsi="Calibri" w:cs="Calibri"/>
          <w:sz w:val="22"/>
          <w:szCs w:val="22"/>
        </w:rPr>
        <w:t>El estudio se adhirió a los principios éticos establecidos por la UPLA (2019) y los lineamientos de Myers y Venable (2014). Se garantizó el consentimiento informado, la confidencialidad de los participantes y la integridad científica en todo el proceso de investigación.</w:t>
      </w:r>
    </w:p>
    <w:p w14:paraId="621F45F4" w14:textId="77777777" w:rsidR="00726E42" w:rsidRDefault="00000000">
      <w:pPr>
        <w:spacing w:before="240" w:line="240" w:lineRule="auto"/>
        <w:jc w:val="both"/>
        <w:rPr>
          <w:b/>
          <w:sz w:val="24"/>
          <w:szCs w:val="24"/>
          <w:lang w:val="es-PE"/>
        </w:rPr>
      </w:pPr>
      <w:r>
        <w:rPr>
          <w:b/>
          <w:sz w:val="24"/>
          <w:szCs w:val="24"/>
          <w:lang w:val="es-PE"/>
        </w:rPr>
        <w:t>Resultados</w:t>
      </w:r>
    </w:p>
    <w:p w14:paraId="64CB7AA7" w14:textId="77777777" w:rsidR="00726E42" w:rsidRDefault="00000000">
      <w:pPr>
        <w:pStyle w:val="Ttulo2"/>
        <w:spacing w:beforeLines="50" w:before="120" w:after="0"/>
        <w:ind w:firstLine="720"/>
        <w:jc w:val="both"/>
        <w:rPr>
          <w:b w:val="0"/>
          <w:bCs w:val="0"/>
          <w:sz w:val="22"/>
          <w:szCs w:val="22"/>
          <w:lang w:val="es-PE" w:eastAsia="es-VE"/>
        </w:rPr>
      </w:pPr>
      <w:r>
        <w:rPr>
          <w:b w:val="0"/>
          <w:bCs w:val="0"/>
          <w:sz w:val="22"/>
          <w:szCs w:val="22"/>
          <w:lang w:val="es-PE" w:eastAsia="es-VE"/>
        </w:rPr>
        <w:t>El análisis de los resultados obtenidos tras la implementación del Sistema de Tutoría Universitaria en la Facultad de Ingeniería de la Universidad Peruana Los Andes (UPLA) se presenta en dos secciones: la primera, con hallazgos descriptivos sobre la muestra de estudio, y la segunda, con un análisis inferencial que evidencia cambios significativos en las variables evaluadas.</w:t>
      </w:r>
    </w:p>
    <w:p w14:paraId="7E80C2A6" w14:textId="77777777" w:rsidR="00726E42" w:rsidRDefault="00000000">
      <w:pPr>
        <w:pStyle w:val="Ttulo2"/>
        <w:spacing w:beforeLines="50" w:before="120" w:after="0"/>
        <w:ind w:firstLine="720"/>
        <w:jc w:val="both"/>
        <w:rPr>
          <w:b w:val="0"/>
          <w:bCs w:val="0"/>
          <w:sz w:val="22"/>
          <w:szCs w:val="22"/>
          <w:lang w:val="es-PE" w:eastAsia="es-VE"/>
        </w:rPr>
      </w:pPr>
      <w:r>
        <w:rPr>
          <w:b w:val="0"/>
          <w:bCs w:val="0"/>
          <w:sz w:val="22"/>
          <w:szCs w:val="22"/>
          <w:lang w:val="es-PE" w:eastAsia="es-VE"/>
        </w:rPr>
        <w:t xml:space="preserve">En primer lugar, se analizaron las características demográficas de los participantes. La mayoría de los estudiantes (46,70%) tenían entre 20 y 25 años, lo que indica que la población de la facultad está </w:t>
      </w:r>
      <w:r>
        <w:rPr>
          <w:b w:val="0"/>
          <w:bCs w:val="0"/>
          <w:sz w:val="22"/>
          <w:szCs w:val="22"/>
          <w:lang w:val="es-PE" w:eastAsia="es-VE"/>
        </w:rPr>
        <w:lastRenderedPageBreak/>
        <w:t>compuesta principalmente por adultos jóvenes en las primeras etapas de su formación. Le sigue un grupo de estudiantes menores de 20 años y, en menor proporción, aquellos mayores de 25. En cuanto a su nivel académico, la mayor concentración de estudiantes se encontró en el segundo ciclo (n = 63), lo que sugiere que esta etapa es clave para la retención y consolidación de los alumnos.</w:t>
      </w:r>
    </w:p>
    <w:p w14:paraId="2CB84AEC" w14:textId="77777777" w:rsidR="00726E42" w:rsidRDefault="00000000">
      <w:pPr>
        <w:pStyle w:val="Ttulo2"/>
        <w:spacing w:beforeLines="100" w:afterLines="50"/>
        <w:jc w:val="both"/>
        <w:rPr>
          <w:rFonts w:cstheme="minorHAnsi"/>
          <w:b w:val="0"/>
          <w:bCs w:val="0"/>
          <w:i/>
          <w:iCs/>
          <w:sz w:val="22"/>
          <w:szCs w:val="22"/>
          <w:lang w:val="es-PE" w:eastAsia="es-VE"/>
        </w:rPr>
      </w:pPr>
      <w:r>
        <w:rPr>
          <w:rFonts w:cstheme="minorHAnsi"/>
          <w:b w:val="0"/>
          <w:bCs w:val="0"/>
          <w:i/>
          <w:iCs/>
          <w:sz w:val="22"/>
          <w:szCs w:val="22"/>
          <w:lang w:val="es-PE" w:eastAsia="es-VE"/>
        </w:rPr>
        <w:t>Tabla 1</w:t>
      </w:r>
      <w:r>
        <w:rPr>
          <w:rFonts w:cstheme="minorHAnsi"/>
          <w:b w:val="0"/>
          <w:bCs w:val="0"/>
          <w:i/>
          <w:iCs/>
          <w:sz w:val="22"/>
          <w:szCs w:val="22"/>
          <w:lang w:eastAsia="es-VE"/>
        </w:rPr>
        <w:t xml:space="preserve">. </w:t>
      </w:r>
      <w:r>
        <w:rPr>
          <w:rFonts w:cstheme="minorHAnsi"/>
          <w:b w:val="0"/>
          <w:bCs w:val="0"/>
          <w:i/>
          <w:iCs/>
          <w:sz w:val="22"/>
          <w:szCs w:val="22"/>
          <w:lang w:val="es-PE" w:eastAsia="es-VE"/>
        </w:rPr>
        <w:t>Distribución de los estudiantes por edad y ciclo académico</w:t>
      </w:r>
    </w:p>
    <w:tbl>
      <w:tblPr>
        <w:tblStyle w:val="Tablanormal31"/>
        <w:tblW w:w="0" w:type="auto"/>
        <w:jc w:val="center"/>
        <w:tblLook w:val="04A0" w:firstRow="1" w:lastRow="0" w:firstColumn="1" w:lastColumn="0" w:noHBand="0" w:noVBand="1"/>
      </w:tblPr>
      <w:tblGrid>
        <w:gridCol w:w="821"/>
        <w:gridCol w:w="1555"/>
        <w:gridCol w:w="1010"/>
        <w:gridCol w:w="1285"/>
      </w:tblGrid>
      <w:tr w:rsidR="00726E42" w14:paraId="6065B22F" w14:textId="77777777" w:rsidTr="00726E4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tcBorders>
              <w:top w:val="single" w:sz="8" w:space="0" w:color="000000"/>
              <w:left w:val="single" w:sz="8" w:space="0" w:color="000000"/>
              <w:bottom w:val="nil"/>
              <w:right w:val="dotted" w:sz="0" w:space="0" w:color="auto"/>
            </w:tcBorders>
            <w:shd w:val="clear" w:color="auto" w:fill="000000"/>
          </w:tcPr>
          <w:p w14:paraId="351F19E0" w14:textId="36D8435E" w:rsidR="00726E42" w:rsidRDefault="00BF070F">
            <w:pPr>
              <w:pStyle w:val="Ttulo2"/>
              <w:spacing w:before="0" w:after="0"/>
              <w:jc w:val="center"/>
              <w:rPr>
                <w:rFonts w:cstheme="minorHAnsi"/>
                <w:b/>
                <w:bCs/>
                <w:color w:val="FFFFFF"/>
                <w:sz w:val="18"/>
                <w:szCs w:val="18"/>
                <w:lang w:val="es-PE" w:eastAsia="es-VE"/>
              </w:rPr>
            </w:pPr>
            <w:r>
              <w:rPr>
                <w:rFonts w:cstheme="minorHAnsi"/>
                <w:caps w:val="0"/>
                <w:color w:val="FFFFFF"/>
                <w:sz w:val="18"/>
                <w:szCs w:val="18"/>
                <w:lang w:val="es-PE" w:eastAsia="es-VE"/>
              </w:rPr>
              <w:t>Variable</w:t>
            </w:r>
          </w:p>
        </w:tc>
        <w:tc>
          <w:tcPr>
            <w:tcW w:w="0" w:type="auto"/>
            <w:tcBorders>
              <w:top w:val="single" w:sz="8" w:space="0" w:color="000000"/>
              <w:left w:val="dotted" w:sz="4" w:space="0" w:color="auto"/>
              <w:bottom w:val="nil"/>
              <w:right w:val="dotted" w:sz="4" w:space="0" w:color="auto"/>
            </w:tcBorders>
            <w:shd w:val="clear" w:color="auto" w:fill="000000"/>
          </w:tcPr>
          <w:p w14:paraId="05306D90" w14:textId="2B291908" w:rsidR="00726E42" w:rsidRDefault="00BF070F">
            <w:pPr>
              <w:pStyle w:val="Ttulo2"/>
              <w:spacing w:before="0" w:after="0"/>
              <w:jc w:val="center"/>
              <w:cnfStyle w:val="100000000000" w:firstRow="1" w:lastRow="0" w:firstColumn="0" w:lastColumn="0" w:oddVBand="0" w:evenVBand="0" w:oddHBand="0" w:evenHBand="0" w:firstRowFirstColumn="0" w:firstRowLastColumn="0" w:lastRowFirstColumn="0" w:lastRowLastColumn="0"/>
              <w:rPr>
                <w:rFonts w:cstheme="minorHAnsi"/>
                <w:b/>
                <w:bCs/>
                <w:color w:val="FFFFFF"/>
                <w:sz w:val="18"/>
                <w:szCs w:val="18"/>
                <w:lang w:val="es-PE" w:eastAsia="es-VE"/>
              </w:rPr>
            </w:pPr>
            <w:r>
              <w:rPr>
                <w:rFonts w:cstheme="minorHAnsi"/>
                <w:caps w:val="0"/>
                <w:color w:val="FFFFFF"/>
                <w:sz w:val="18"/>
                <w:szCs w:val="18"/>
                <w:lang w:val="es-PE" w:eastAsia="es-VE"/>
              </w:rPr>
              <w:t>Categoría</w:t>
            </w:r>
          </w:p>
        </w:tc>
        <w:tc>
          <w:tcPr>
            <w:tcW w:w="0" w:type="auto"/>
            <w:tcBorders>
              <w:top w:val="single" w:sz="8" w:space="0" w:color="000000"/>
              <w:left w:val="dotted" w:sz="4" w:space="0" w:color="auto"/>
              <w:bottom w:val="nil"/>
              <w:right w:val="dotted" w:sz="4" w:space="0" w:color="auto"/>
            </w:tcBorders>
            <w:shd w:val="clear" w:color="auto" w:fill="000000"/>
          </w:tcPr>
          <w:p w14:paraId="2DE7CFDB" w14:textId="6264607E" w:rsidR="00726E42" w:rsidRDefault="00BF070F">
            <w:pPr>
              <w:pStyle w:val="Ttulo2"/>
              <w:spacing w:before="0" w:after="0"/>
              <w:jc w:val="center"/>
              <w:cnfStyle w:val="100000000000" w:firstRow="1" w:lastRow="0" w:firstColumn="0" w:lastColumn="0" w:oddVBand="0" w:evenVBand="0" w:oddHBand="0" w:evenHBand="0" w:firstRowFirstColumn="0" w:firstRowLastColumn="0" w:lastRowFirstColumn="0" w:lastRowLastColumn="0"/>
              <w:rPr>
                <w:rFonts w:cstheme="minorHAnsi"/>
                <w:b/>
                <w:bCs/>
                <w:color w:val="FFFFFF"/>
                <w:sz w:val="18"/>
                <w:szCs w:val="18"/>
                <w:lang w:val="es-PE" w:eastAsia="es-VE"/>
              </w:rPr>
            </w:pPr>
            <w:r>
              <w:rPr>
                <w:rFonts w:cstheme="minorHAnsi"/>
                <w:caps w:val="0"/>
                <w:color w:val="FFFFFF"/>
                <w:sz w:val="18"/>
                <w:szCs w:val="18"/>
                <w:lang w:val="es-PE" w:eastAsia="es-VE"/>
              </w:rPr>
              <w:t>Frecuencia</w:t>
            </w:r>
          </w:p>
        </w:tc>
        <w:tc>
          <w:tcPr>
            <w:tcW w:w="0" w:type="auto"/>
            <w:tcBorders>
              <w:top w:val="single" w:sz="8" w:space="0" w:color="000000"/>
              <w:left w:val="dotted" w:sz="4" w:space="0" w:color="auto"/>
              <w:bottom w:val="nil"/>
              <w:right w:val="single" w:sz="8" w:space="0" w:color="000000"/>
            </w:tcBorders>
            <w:shd w:val="clear" w:color="auto" w:fill="000000"/>
          </w:tcPr>
          <w:p w14:paraId="311DD449" w14:textId="2C2FED41" w:rsidR="00726E42" w:rsidRDefault="00BF070F">
            <w:pPr>
              <w:pStyle w:val="Ttulo2"/>
              <w:spacing w:before="0" w:after="0"/>
              <w:jc w:val="center"/>
              <w:cnfStyle w:val="100000000000" w:firstRow="1" w:lastRow="0" w:firstColumn="0" w:lastColumn="0" w:oddVBand="0" w:evenVBand="0" w:oddHBand="0" w:evenHBand="0" w:firstRowFirstColumn="0" w:firstRowLastColumn="0" w:lastRowFirstColumn="0" w:lastRowLastColumn="0"/>
              <w:rPr>
                <w:rFonts w:cstheme="minorHAnsi"/>
                <w:b/>
                <w:bCs/>
                <w:color w:val="FFFFFF"/>
                <w:sz w:val="18"/>
                <w:szCs w:val="18"/>
                <w:lang w:val="es-PE" w:eastAsia="es-VE"/>
              </w:rPr>
            </w:pPr>
            <w:r>
              <w:rPr>
                <w:rFonts w:cstheme="minorHAnsi"/>
                <w:caps w:val="0"/>
                <w:color w:val="FFFFFF"/>
                <w:sz w:val="18"/>
                <w:szCs w:val="18"/>
                <w:lang w:val="es-PE" w:eastAsia="es-VE"/>
              </w:rPr>
              <w:t>Porcentaje (%)</w:t>
            </w:r>
          </w:p>
        </w:tc>
      </w:tr>
      <w:tr w:rsidR="00726E42" w14:paraId="277D4B5B" w14:textId="77777777" w:rsidTr="00726E42">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FFFFFF" w:themeFill="background1"/>
          </w:tcPr>
          <w:p w14:paraId="3871A1B9" w14:textId="30158951" w:rsidR="00726E42" w:rsidRDefault="00BF070F">
            <w:pPr>
              <w:pStyle w:val="Ttulo2"/>
              <w:spacing w:before="0" w:after="0"/>
              <w:jc w:val="both"/>
              <w:rPr>
                <w:rFonts w:cstheme="minorHAnsi"/>
                <w:b/>
                <w:bCs/>
                <w:color w:val="000000"/>
                <w:sz w:val="18"/>
                <w:szCs w:val="18"/>
                <w:lang w:val="es-PE" w:eastAsia="es-VE"/>
              </w:rPr>
            </w:pPr>
            <w:r>
              <w:rPr>
                <w:rFonts w:cstheme="minorHAnsi"/>
                <w:caps w:val="0"/>
                <w:color w:val="000000"/>
                <w:sz w:val="18"/>
                <w:szCs w:val="18"/>
                <w:lang w:val="es-PE" w:eastAsia="es-VE"/>
              </w:rPr>
              <w:t>Edad</w:t>
            </w:r>
          </w:p>
        </w:tc>
        <w:tc>
          <w:tcPr>
            <w:tcW w:w="0" w:type="auto"/>
            <w:tcBorders>
              <w:top w:val="nil"/>
              <w:left w:val="nil"/>
              <w:bottom w:val="nil"/>
              <w:right w:val="nil"/>
            </w:tcBorders>
            <w:shd w:val="clear" w:color="auto" w:fill="FFFFFF" w:themeFill="background1"/>
          </w:tcPr>
          <w:p w14:paraId="7A55F837" w14:textId="77777777" w:rsidR="00726E42" w:rsidRDefault="00000000">
            <w:pPr>
              <w:pStyle w:val="Ttulo2"/>
              <w:spacing w:before="0" w:after="0"/>
              <w:jc w:val="both"/>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Pr>
                <w:rFonts w:cstheme="minorHAnsi"/>
                <w:b w:val="0"/>
                <w:bCs w:val="0"/>
                <w:color w:val="000000"/>
                <w:sz w:val="18"/>
                <w:szCs w:val="18"/>
                <w:lang w:val="es-PE" w:eastAsia="es-VE"/>
              </w:rPr>
              <w:t>Menos de 20 años</w:t>
            </w:r>
          </w:p>
        </w:tc>
        <w:tc>
          <w:tcPr>
            <w:tcW w:w="0" w:type="auto"/>
            <w:tcBorders>
              <w:top w:val="nil"/>
              <w:left w:val="nil"/>
              <w:bottom w:val="nil"/>
              <w:right w:val="nil"/>
            </w:tcBorders>
            <w:shd w:val="clear" w:color="auto" w:fill="FFFFFF" w:themeFill="background1"/>
          </w:tcPr>
          <w:p w14:paraId="4F205728" w14:textId="77777777" w:rsidR="00726E42" w:rsidRDefault="00000000">
            <w:pPr>
              <w:pStyle w:val="Ttulo2"/>
              <w:spacing w:before="0" w:after="0"/>
              <w:jc w:val="center"/>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Pr>
                <w:rFonts w:cstheme="minorHAnsi"/>
                <w:b w:val="0"/>
                <w:bCs w:val="0"/>
                <w:color w:val="000000"/>
                <w:sz w:val="18"/>
                <w:szCs w:val="18"/>
                <w:lang w:val="es-PE" w:eastAsia="es-VE"/>
              </w:rPr>
              <w:t>39</w:t>
            </w:r>
          </w:p>
        </w:tc>
        <w:tc>
          <w:tcPr>
            <w:tcW w:w="0" w:type="auto"/>
            <w:tcBorders>
              <w:top w:val="nil"/>
              <w:left w:val="nil"/>
              <w:bottom w:val="nil"/>
              <w:right w:val="nil"/>
            </w:tcBorders>
            <w:shd w:val="clear" w:color="auto" w:fill="FFFFFF" w:themeFill="background1"/>
          </w:tcPr>
          <w:p w14:paraId="26BC7911" w14:textId="77777777" w:rsidR="00726E42" w:rsidRDefault="00000000">
            <w:pPr>
              <w:pStyle w:val="Ttulo2"/>
              <w:spacing w:before="0" w:after="0"/>
              <w:jc w:val="center"/>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Pr>
                <w:rFonts w:cstheme="minorHAnsi"/>
                <w:b w:val="0"/>
                <w:bCs w:val="0"/>
                <w:color w:val="000000"/>
                <w:sz w:val="18"/>
                <w:szCs w:val="18"/>
                <w:lang w:val="es-PE" w:eastAsia="es-VE"/>
              </w:rPr>
              <w:t>28,89</w:t>
            </w:r>
          </w:p>
        </w:tc>
      </w:tr>
      <w:tr w:rsidR="00726E42" w14:paraId="407B8843" w14:textId="77777777" w:rsidTr="00726E42">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FFFFFF" w:themeFill="background1"/>
          </w:tcPr>
          <w:p w14:paraId="0CC0B528" w14:textId="77777777" w:rsidR="00726E42" w:rsidRDefault="00726E42">
            <w:pPr>
              <w:pStyle w:val="Ttulo2"/>
              <w:spacing w:before="0" w:after="0"/>
              <w:jc w:val="both"/>
              <w:rPr>
                <w:rFonts w:cstheme="minorHAnsi"/>
                <w:b/>
                <w:bCs/>
                <w:color w:val="000000"/>
                <w:sz w:val="18"/>
                <w:szCs w:val="18"/>
                <w:lang w:val="es-PE" w:eastAsia="es-VE"/>
              </w:rPr>
            </w:pPr>
          </w:p>
        </w:tc>
        <w:tc>
          <w:tcPr>
            <w:tcW w:w="0" w:type="auto"/>
            <w:tcBorders>
              <w:top w:val="nil"/>
              <w:left w:val="nil"/>
              <w:bottom w:val="nil"/>
              <w:right w:val="nil"/>
            </w:tcBorders>
            <w:shd w:val="clear" w:color="auto" w:fill="FFFFFF" w:themeFill="background1"/>
          </w:tcPr>
          <w:p w14:paraId="57F283DD" w14:textId="77777777" w:rsidR="00726E42" w:rsidRDefault="00000000">
            <w:pPr>
              <w:pStyle w:val="Ttulo2"/>
              <w:spacing w:before="0" w:after="0"/>
              <w:jc w:val="both"/>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Pr>
                <w:rFonts w:cstheme="minorHAnsi"/>
                <w:b w:val="0"/>
                <w:bCs w:val="0"/>
                <w:color w:val="000000"/>
                <w:sz w:val="18"/>
                <w:szCs w:val="18"/>
                <w:lang w:val="es-PE" w:eastAsia="es-VE"/>
              </w:rPr>
              <w:t>20 a 25 años</w:t>
            </w:r>
          </w:p>
        </w:tc>
        <w:tc>
          <w:tcPr>
            <w:tcW w:w="0" w:type="auto"/>
            <w:tcBorders>
              <w:top w:val="nil"/>
              <w:left w:val="nil"/>
              <w:bottom w:val="nil"/>
              <w:right w:val="nil"/>
            </w:tcBorders>
            <w:shd w:val="clear" w:color="auto" w:fill="FFFFFF" w:themeFill="background1"/>
          </w:tcPr>
          <w:p w14:paraId="0DB9A84E" w14:textId="77777777" w:rsidR="00726E42" w:rsidRDefault="00000000">
            <w:pPr>
              <w:pStyle w:val="Ttulo2"/>
              <w:spacing w:before="0" w:after="0"/>
              <w:jc w:val="center"/>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Pr>
                <w:rFonts w:cstheme="minorHAnsi"/>
                <w:b w:val="0"/>
                <w:bCs w:val="0"/>
                <w:color w:val="000000"/>
                <w:sz w:val="18"/>
                <w:szCs w:val="18"/>
                <w:lang w:val="es-PE" w:eastAsia="es-VE"/>
              </w:rPr>
              <w:t>63</w:t>
            </w:r>
          </w:p>
        </w:tc>
        <w:tc>
          <w:tcPr>
            <w:tcW w:w="0" w:type="auto"/>
            <w:tcBorders>
              <w:top w:val="nil"/>
              <w:left w:val="nil"/>
              <w:bottom w:val="nil"/>
              <w:right w:val="nil"/>
            </w:tcBorders>
            <w:shd w:val="clear" w:color="auto" w:fill="FFFFFF" w:themeFill="background1"/>
          </w:tcPr>
          <w:p w14:paraId="267A64D8" w14:textId="77777777" w:rsidR="00726E42" w:rsidRDefault="00000000">
            <w:pPr>
              <w:pStyle w:val="Ttulo2"/>
              <w:spacing w:before="0" w:after="0"/>
              <w:jc w:val="center"/>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Pr>
                <w:rFonts w:cstheme="minorHAnsi"/>
                <w:b w:val="0"/>
                <w:bCs w:val="0"/>
                <w:color w:val="000000"/>
                <w:sz w:val="18"/>
                <w:szCs w:val="18"/>
                <w:lang w:val="es-PE" w:eastAsia="es-VE"/>
              </w:rPr>
              <w:t>46,70</w:t>
            </w:r>
          </w:p>
        </w:tc>
      </w:tr>
      <w:tr w:rsidR="00726E42" w14:paraId="71E6C131" w14:textId="77777777" w:rsidTr="00726E42">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FFFFFF" w:themeFill="background1"/>
          </w:tcPr>
          <w:p w14:paraId="5E274B5A" w14:textId="77777777" w:rsidR="00726E42" w:rsidRDefault="00726E42">
            <w:pPr>
              <w:pStyle w:val="Ttulo2"/>
              <w:spacing w:before="0" w:after="0"/>
              <w:jc w:val="both"/>
              <w:rPr>
                <w:rFonts w:cstheme="minorHAnsi"/>
                <w:b/>
                <w:bCs/>
                <w:color w:val="000000"/>
                <w:sz w:val="18"/>
                <w:szCs w:val="18"/>
                <w:lang w:val="es-PE" w:eastAsia="es-VE"/>
              </w:rPr>
            </w:pPr>
          </w:p>
        </w:tc>
        <w:tc>
          <w:tcPr>
            <w:tcW w:w="0" w:type="auto"/>
            <w:tcBorders>
              <w:top w:val="nil"/>
              <w:left w:val="nil"/>
              <w:bottom w:val="nil"/>
              <w:right w:val="nil"/>
            </w:tcBorders>
            <w:shd w:val="clear" w:color="auto" w:fill="FFFFFF" w:themeFill="background1"/>
          </w:tcPr>
          <w:p w14:paraId="2482B3CF" w14:textId="77777777" w:rsidR="00726E42" w:rsidRDefault="00000000">
            <w:pPr>
              <w:pStyle w:val="Ttulo2"/>
              <w:spacing w:before="0" w:after="0"/>
              <w:jc w:val="both"/>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Pr>
                <w:rFonts w:cstheme="minorHAnsi"/>
                <w:b w:val="0"/>
                <w:bCs w:val="0"/>
                <w:color w:val="000000"/>
                <w:sz w:val="18"/>
                <w:szCs w:val="18"/>
                <w:lang w:val="es-PE" w:eastAsia="es-VE"/>
              </w:rPr>
              <w:t>Más de 25 años</w:t>
            </w:r>
          </w:p>
        </w:tc>
        <w:tc>
          <w:tcPr>
            <w:tcW w:w="0" w:type="auto"/>
            <w:tcBorders>
              <w:top w:val="nil"/>
              <w:left w:val="nil"/>
              <w:bottom w:val="nil"/>
              <w:right w:val="nil"/>
            </w:tcBorders>
            <w:shd w:val="clear" w:color="auto" w:fill="FFFFFF" w:themeFill="background1"/>
          </w:tcPr>
          <w:p w14:paraId="4538C632" w14:textId="77777777" w:rsidR="00726E42" w:rsidRDefault="00000000">
            <w:pPr>
              <w:pStyle w:val="Ttulo2"/>
              <w:spacing w:before="0" w:after="0"/>
              <w:jc w:val="center"/>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Pr>
                <w:rFonts w:cstheme="minorHAnsi"/>
                <w:b w:val="0"/>
                <w:bCs w:val="0"/>
                <w:color w:val="000000"/>
                <w:sz w:val="18"/>
                <w:szCs w:val="18"/>
                <w:lang w:val="es-PE" w:eastAsia="es-VE"/>
              </w:rPr>
              <w:t>33</w:t>
            </w:r>
          </w:p>
        </w:tc>
        <w:tc>
          <w:tcPr>
            <w:tcW w:w="0" w:type="auto"/>
            <w:tcBorders>
              <w:top w:val="nil"/>
              <w:left w:val="nil"/>
              <w:bottom w:val="nil"/>
              <w:right w:val="nil"/>
            </w:tcBorders>
            <w:shd w:val="clear" w:color="auto" w:fill="FFFFFF" w:themeFill="background1"/>
          </w:tcPr>
          <w:p w14:paraId="2E183645" w14:textId="77777777" w:rsidR="00726E42" w:rsidRDefault="00000000">
            <w:pPr>
              <w:pStyle w:val="Ttulo2"/>
              <w:spacing w:before="0" w:after="0"/>
              <w:jc w:val="center"/>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Pr>
                <w:rFonts w:cstheme="minorHAnsi"/>
                <w:b w:val="0"/>
                <w:bCs w:val="0"/>
                <w:color w:val="000000"/>
                <w:sz w:val="18"/>
                <w:szCs w:val="18"/>
                <w:lang w:val="es-PE" w:eastAsia="es-VE"/>
              </w:rPr>
              <w:t>24,41</w:t>
            </w:r>
          </w:p>
        </w:tc>
      </w:tr>
      <w:tr w:rsidR="00726E42" w14:paraId="1BDE5E30" w14:textId="77777777" w:rsidTr="00726E42">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FFFFFF" w:themeFill="background1"/>
          </w:tcPr>
          <w:p w14:paraId="3C8E639F" w14:textId="07957311" w:rsidR="00726E42" w:rsidRDefault="00BF070F">
            <w:pPr>
              <w:pStyle w:val="Ttulo2"/>
              <w:spacing w:before="0" w:after="0"/>
              <w:jc w:val="both"/>
              <w:rPr>
                <w:rFonts w:cstheme="minorHAnsi"/>
                <w:b/>
                <w:bCs/>
                <w:color w:val="000000"/>
                <w:sz w:val="18"/>
                <w:szCs w:val="18"/>
                <w:lang w:val="es-PE" w:eastAsia="es-VE"/>
              </w:rPr>
            </w:pPr>
            <w:r>
              <w:rPr>
                <w:rFonts w:cstheme="minorHAnsi"/>
                <w:caps w:val="0"/>
                <w:color w:val="000000"/>
                <w:sz w:val="18"/>
                <w:szCs w:val="18"/>
                <w:lang w:val="es-PE" w:eastAsia="es-VE"/>
              </w:rPr>
              <w:t>Ciclo</w:t>
            </w:r>
          </w:p>
        </w:tc>
        <w:tc>
          <w:tcPr>
            <w:tcW w:w="0" w:type="auto"/>
            <w:tcBorders>
              <w:top w:val="nil"/>
              <w:left w:val="nil"/>
              <w:bottom w:val="nil"/>
              <w:right w:val="nil"/>
            </w:tcBorders>
            <w:shd w:val="clear" w:color="auto" w:fill="FFFFFF" w:themeFill="background1"/>
          </w:tcPr>
          <w:p w14:paraId="3D90971D" w14:textId="77777777" w:rsidR="00726E42" w:rsidRDefault="00000000">
            <w:pPr>
              <w:pStyle w:val="Ttulo2"/>
              <w:spacing w:before="0" w:after="0"/>
              <w:jc w:val="both"/>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Pr>
                <w:rFonts w:cstheme="minorHAnsi"/>
                <w:b w:val="0"/>
                <w:bCs w:val="0"/>
                <w:color w:val="000000"/>
                <w:sz w:val="18"/>
                <w:szCs w:val="18"/>
                <w:lang w:val="es-PE" w:eastAsia="es-VE"/>
              </w:rPr>
              <w:t>Primero</w:t>
            </w:r>
          </w:p>
        </w:tc>
        <w:tc>
          <w:tcPr>
            <w:tcW w:w="0" w:type="auto"/>
            <w:tcBorders>
              <w:top w:val="nil"/>
              <w:left w:val="nil"/>
              <w:bottom w:val="nil"/>
              <w:right w:val="nil"/>
            </w:tcBorders>
            <w:shd w:val="clear" w:color="auto" w:fill="FFFFFF" w:themeFill="background1"/>
          </w:tcPr>
          <w:p w14:paraId="6F0210E5" w14:textId="77777777" w:rsidR="00726E42" w:rsidRDefault="00000000">
            <w:pPr>
              <w:pStyle w:val="Ttulo2"/>
              <w:spacing w:before="0" w:after="0"/>
              <w:jc w:val="center"/>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Pr>
                <w:rFonts w:cstheme="minorHAnsi"/>
                <w:b w:val="0"/>
                <w:bCs w:val="0"/>
                <w:color w:val="000000"/>
                <w:sz w:val="18"/>
                <w:szCs w:val="18"/>
                <w:lang w:val="es-PE" w:eastAsia="es-VE"/>
              </w:rPr>
              <w:t>28</w:t>
            </w:r>
          </w:p>
        </w:tc>
        <w:tc>
          <w:tcPr>
            <w:tcW w:w="0" w:type="auto"/>
            <w:tcBorders>
              <w:top w:val="nil"/>
              <w:left w:val="nil"/>
              <w:bottom w:val="nil"/>
              <w:right w:val="nil"/>
            </w:tcBorders>
            <w:shd w:val="clear" w:color="auto" w:fill="FFFFFF" w:themeFill="background1"/>
          </w:tcPr>
          <w:p w14:paraId="3D4F0778" w14:textId="77777777" w:rsidR="00726E42" w:rsidRDefault="00000000">
            <w:pPr>
              <w:pStyle w:val="Ttulo2"/>
              <w:spacing w:before="0" w:after="0"/>
              <w:jc w:val="center"/>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Pr>
                <w:rFonts w:cstheme="minorHAnsi"/>
                <w:b w:val="0"/>
                <w:bCs w:val="0"/>
                <w:color w:val="000000"/>
                <w:sz w:val="18"/>
                <w:szCs w:val="18"/>
                <w:lang w:val="es-PE" w:eastAsia="es-VE"/>
              </w:rPr>
              <w:t>20,74</w:t>
            </w:r>
          </w:p>
        </w:tc>
      </w:tr>
      <w:tr w:rsidR="00726E42" w14:paraId="3782E893" w14:textId="77777777" w:rsidTr="00726E42">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FFFFFF" w:themeFill="background1"/>
          </w:tcPr>
          <w:p w14:paraId="3CD017E0" w14:textId="77777777" w:rsidR="00726E42" w:rsidRDefault="00726E42">
            <w:pPr>
              <w:pStyle w:val="Ttulo2"/>
              <w:spacing w:before="0" w:after="0"/>
              <w:jc w:val="both"/>
              <w:rPr>
                <w:rFonts w:cstheme="minorHAnsi"/>
                <w:b/>
                <w:bCs/>
                <w:color w:val="000000"/>
                <w:sz w:val="18"/>
                <w:szCs w:val="18"/>
                <w:lang w:val="es-PE" w:eastAsia="es-VE"/>
              </w:rPr>
            </w:pPr>
          </w:p>
        </w:tc>
        <w:tc>
          <w:tcPr>
            <w:tcW w:w="0" w:type="auto"/>
            <w:tcBorders>
              <w:top w:val="nil"/>
              <w:left w:val="nil"/>
              <w:bottom w:val="nil"/>
              <w:right w:val="nil"/>
            </w:tcBorders>
            <w:shd w:val="clear" w:color="auto" w:fill="FFFFFF" w:themeFill="background1"/>
          </w:tcPr>
          <w:p w14:paraId="1630CE4F" w14:textId="77777777" w:rsidR="00726E42" w:rsidRDefault="00000000">
            <w:pPr>
              <w:pStyle w:val="Ttulo2"/>
              <w:spacing w:before="0" w:after="0"/>
              <w:jc w:val="both"/>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Pr>
                <w:rFonts w:cstheme="minorHAnsi"/>
                <w:b w:val="0"/>
                <w:bCs w:val="0"/>
                <w:color w:val="000000"/>
                <w:sz w:val="18"/>
                <w:szCs w:val="18"/>
                <w:lang w:val="es-PE" w:eastAsia="es-VE"/>
              </w:rPr>
              <w:t>Segundo</w:t>
            </w:r>
          </w:p>
        </w:tc>
        <w:tc>
          <w:tcPr>
            <w:tcW w:w="0" w:type="auto"/>
            <w:tcBorders>
              <w:top w:val="nil"/>
              <w:left w:val="nil"/>
              <w:bottom w:val="nil"/>
              <w:right w:val="nil"/>
            </w:tcBorders>
            <w:shd w:val="clear" w:color="auto" w:fill="FFFFFF" w:themeFill="background1"/>
          </w:tcPr>
          <w:p w14:paraId="69676FAF" w14:textId="77777777" w:rsidR="00726E42" w:rsidRDefault="00000000">
            <w:pPr>
              <w:pStyle w:val="Ttulo2"/>
              <w:spacing w:before="0" w:after="0"/>
              <w:jc w:val="center"/>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Pr>
                <w:rFonts w:cstheme="minorHAnsi"/>
                <w:b w:val="0"/>
                <w:bCs w:val="0"/>
                <w:color w:val="000000"/>
                <w:sz w:val="18"/>
                <w:szCs w:val="18"/>
                <w:lang w:val="es-PE" w:eastAsia="es-VE"/>
              </w:rPr>
              <w:t>63</w:t>
            </w:r>
          </w:p>
        </w:tc>
        <w:tc>
          <w:tcPr>
            <w:tcW w:w="0" w:type="auto"/>
            <w:tcBorders>
              <w:top w:val="nil"/>
              <w:left w:val="nil"/>
              <w:bottom w:val="nil"/>
              <w:right w:val="nil"/>
            </w:tcBorders>
            <w:shd w:val="clear" w:color="auto" w:fill="FFFFFF" w:themeFill="background1"/>
          </w:tcPr>
          <w:p w14:paraId="40347540" w14:textId="77777777" w:rsidR="00726E42" w:rsidRDefault="00000000">
            <w:pPr>
              <w:pStyle w:val="Ttulo2"/>
              <w:spacing w:before="0" w:after="0"/>
              <w:jc w:val="center"/>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Pr>
                <w:rFonts w:cstheme="minorHAnsi"/>
                <w:b w:val="0"/>
                <w:bCs w:val="0"/>
                <w:color w:val="000000"/>
                <w:sz w:val="18"/>
                <w:szCs w:val="18"/>
                <w:lang w:val="es-PE" w:eastAsia="es-VE"/>
              </w:rPr>
              <w:t>46,67</w:t>
            </w:r>
          </w:p>
        </w:tc>
      </w:tr>
      <w:tr w:rsidR="00726E42" w14:paraId="6348A70C" w14:textId="77777777" w:rsidTr="00726E42">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auto"/>
              <w:right w:val="nil"/>
            </w:tcBorders>
            <w:shd w:val="clear" w:color="auto" w:fill="FFFFFF" w:themeFill="background1"/>
          </w:tcPr>
          <w:p w14:paraId="34211E74" w14:textId="77777777" w:rsidR="00726E42" w:rsidRDefault="00726E42">
            <w:pPr>
              <w:pStyle w:val="Ttulo2"/>
              <w:spacing w:before="0" w:after="0"/>
              <w:jc w:val="both"/>
              <w:rPr>
                <w:rFonts w:cstheme="minorHAnsi"/>
                <w:b/>
                <w:bCs/>
                <w:caps w:val="0"/>
                <w:color w:val="000000"/>
                <w:sz w:val="18"/>
                <w:szCs w:val="18"/>
                <w:lang w:val="es-PE" w:eastAsia="es-VE"/>
              </w:rPr>
            </w:pPr>
          </w:p>
        </w:tc>
        <w:tc>
          <w:tcPr>
            <w:tcW w:w="0" w:type="auto"/>
            <w:tcBorders>
              <w:top w:val="nil"/>
              <w:left w:val="nil"/>
              <w:bottom w:val="single" w:sz="4" w:space="0" w:color="auto"/>
              <w:right w:val="nil"/>
            </w:tcBorders>
            <w:shd w:val="clear" w:color="auto" w:fill="FFFFFF" w:themeFill="background1"/>
          </w:tcPr>
          <w:p w14:paraId="759A13D1" w14:textId="77777777" w:rsidR="00726E42" w:rsidRDefault="00000000">
            <w:pPr>
              <w:pStyle w:val="Ttulo2"/>
              <w:spacing w:before="0" w:after="0"/>
              <w:jc w:val="both"/>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Pr>
                <w:rFonts w:cstheme="minorHAnsi"/>
                <w:b w:val="0"/>
                <w:bCs w:val="0"/>
                <w:color w:val="000000"/>
                <w:sz w:val="18"/>
                <w:szCs w:val="18"/>
                <w:lang w:val="es-PE" w:eastAsia="es-VE"/>
              </w:rPr>
              <w:t>Tercero o más</w:t>
            </w:r>
          </w:p>
        </w:tc>
        <w:tc>
          <w:tcPr>
            <w:tcW w:w="0" w:type="auto"/>
            <w:tcBorders>
              <w:top w:val="nil"/>
              <w:left w:val="nil"/>
              <w:bottom w:val="single" w:sz="4" w:space="0" w:color="auto"/>
              <w:right w:val="nil"/>
            </w:tcBorders>
            <w:shd w:val="clear" w:color="auto" w:fill="FFFFFF" w:themeFill="background1"/>
          </w:tcPr>
          <w:p w14:paraId="32F7244D" w14:textId="77777777" w:rsidR="00726E42" w:rsidRDefault="00000000">
            <w:pPr>
              <w:pStyle w:val="Ttulo2"/>
              <w:spacing w:before="0" w:after="0"/>
              <w:jc w:val="center"/>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Pr>
                <w:rFonts w:cstheme="minorHAnsi"/>
                <w:b w:val="0"/>
                <w:bCs w:val="0"/>
                <w:color w:val="000000"/>
                <w:sz w:val="18"/>
                <w:szCs w:val="18"/>
                <w:lang w:val="es-PE" w:eastAsia="es-VE"/>
              </w:rPr>
              <w:t>44</w:t>
            </w:r>
          </w:p>
        </w:tc>
        <w:tc>
          <w:tcPr>
            <w:tcW w:w="0" w:type="auto"/>
            <w:tcBorders>
              <w:top w:val="nil"/>
              <w:left w:val="nil"/>
              <w:bottom w:val="single" w:sz="4" w:space="0" w:color="auto"/>
              <w:right w:val="nil"/>
            </w:tcBorders>
            <w:shd w:val="clear" w:color="auto" w:fill="FFFFFF" w:themeFill="background1"/>
          </w:tcPr>
          <w:p w14:paraId="4E385CB0" w14:textId="77777777" w:rsidR="00726E42" w:rsidRDefault="00000000">
            <w:pPr>
              <w:pStyle w:val="Ttulo2"/>
              <w:spacing w:before="0" w:after="0"/>
              <w:jc w:val="center"/>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Pr>
                <w:rFonts w:cstheme="minorHAnsi"/>
                <w:b w:val="0"/>
                <w:bCs w:val="0"/>
                <w:color w:val="000000"/>
                <w:sz w:val="18"/>
                <w:szCs w:val="18"/>
                <w:lang w:val="es-PE" w:eastAsia="es-VE"/>
              </w:rPr>
              <w:t>32,59</w:t>
            </w:r>
          </w:p>
        </w:tc>
      </w:tr>
    </w:tbl>
    <w:p w14:paraId="753D72C3" w14:textId="77777777" w:rsidR="00726E42" w:rsidRDefault="00000000">
      <w:pPr>
        <w:pStyle w:val="Ttulo2"/>
        <w:spacing w:beforeLines="50" w:before="120" w:after="0"/>
        <w:jc w:val="both"/>
        <w:rPr>
          <w:sz w:val="22"/>
          <w:szCs w:val="22"/>
          <w:lang w:val="es-PE" w:eastAsia="es-VE"/>
        </w:rPr>
      </w:pPr>
      <w:r>
        <w:rPr>
          <w:sz w:val="22"/>
          <w:szCs w:val="22"/>
          <w:lang w:val="es-PE" w:eastAsia="es-VE"/>
        </w:rPr>
        <w:t>Análisis de la Intervención</w:t>
      </w:r>
    </w:p>
    <w:p w14:paraId="5168A943" w14:textId="77777777" w:rsidR="00726E42" w:rsidRDefault="00000000">
      <w:pPr>
        <w:pStyle w:val="Ttulo2"/>
        <w:spacing w:beforeLines="50" w:before="120" w:after="0"/>
        <w:ind w:firstLine="720"/>
        <w:jc w:val="both"/>
        <w:rPr>
          <w:b w:val="0"/>
          <w:bCs w:val="0"/>
          <w:sz w:val="22"/>
          <w:szCs w:val="22"/>
          <w:lang w:val="es-PE" w:eastAsia="es-VE"/>
        </w:rPr>
      </w:pPr>
      <w:r>
        <w:rPr>
          <w:b w:val="0"/>
          <w:bCs w:val="0"/>
          <w:sz w:val="22"/>
          <w:szCs w:val="22"/>
          <w:lang w:val="es-PE" w:eastAsia="es-VE"/>
        </w:rPr>
        <w:t>La implementación del sistema de tutoría generó mejoras significativas en todas las variables evaluadas, tal como se muestra en la Tabla 2 y la Figura 1. Las competencias digitales de los estudiantes, inicialmente distribuidas en niveles bajos y medios, se concentraron en los niveles altos (4 y 5) después de la intervención, pasando de una media de 2,31 a 4,18.</w:t>
      </w:r>
    </w:p>
    <w:p w14:paraId="37324416" w14:textId="77777777" w:rsidR="00726E42" w:rsidRDefault="00000000">
      <w:pPr>
        <w:pStyle w:val="Ttulo2"/>
        <w:spacing w:beforeLines="50" w:before="120" w:after="0"/>
        <w:ind w:firstLine="720"/>
        <w:jc w:val="both"/>
        <w:rPr>
          <w:b w:val="0"/>
          <w:bCs w:val="0"/>
          <w:sz w:val="22"/>
          <w:szCs w:val="22"/>
          <w:lang w:val="es-PE" w:eastAsia="es-VE"/>
        </w:rPr>
      </w:pPr>
      <w:r>
        <w:rPr>
          <w:b w:val="0"/>
          <w:bCs w:val="0"/>
          <w:sz w:val="22"/>
          <w:szCs w:val="22"/>
          <w:lang w:val="es-PE" w:eastAsia="es-VE"/>
        </w:rPr>
        <w:t>De manera similar, la colaboración y comunicación entre estudiantes mostró un incremento notable, con una media que subió de 2,57 a 4,05, lo que evidencia una mayor sinergia. La integración social también mejoró, con una media que aumentó de 2,49 a 4,09, lo que indica que los estudiantes se sintieron más conectados con su entorno académico.</w:t>
      </w:r>
    </w:p>
    <w:p w14:paraId="1E6AC42E" w14:textId="77777777" w:rsidR="00726E42" w:rsidRDefault="00000000">
      <w:pPr>
        <w:pStyle w:val="Ttulo2"/>
        <w:spacing w:beforeLines="50" w:before="120" w:after="0"/>
        <w:ind w:firstLine="720"/>
        <w:jc w:val="both"/>
        <w:rPr>
          <w:b w:val="0"/>
          <w:bCs w:val="0"/>
          <w:sz w:val="22"/>
          <w:szCs w:val="22"/>
          <w:lang w:val="es-PE" w:eastAsia="es-VE"/>
        </w:rPr>
      </w:pPr>
      <w:r>
        <w:rPr>
          <w:b w:val="0"/>
          <w:bCs w:val="0"/>
          <w:sz w:val="22"/>
          <w:szCs w:val="22"/>
          <w:lang w:val="es-PE" w:eastAsia="es-VE"/>
        </w:rPr>
        <w:t>Otras variables, como la calidad educativa percibida, la participación en actividades extracurriculares, la disponibilidad de recursos académicos y la satisfacción general, también registraron mejoras sustanciales, demostrando que el programa de tutoría contribuyó a un mayor compromiso y una percepción más positiva de la experiencia educativa en general.</w:t>
      </w:r>
    </w:p>
    <w:p w14:paraId="00F4D76E" w14:textId="77777777" w:rsidR="00726E42" w:rsidRDefault="00000000">
      <w:pPr>
        <w:pStyle w:val="Ttulo2"/>
        <w:spacing w:beforeLines="100" w:afterLines="50"/>
        <w:jc w:val="both"/>
        <w:rPr>
          <w:rFonts w:cstheme="minorHAnsi"/>
          <w:b w:val="0"/>
          <w:bCs w:val="0"/>
          <w:i/>
          <w:iCs/>
          <w:sz w:val="22"/>
          <w:szCs w:val="22"/>
          <w:lang w:val="es-PE" w:eastAsia="es-VE"/>
        </w:rPr>
      </w:pPr>
      <w:r>
        <w:rPr>
          <w:rFonts w:cstheme="minorHAnsi"/>
          <w:i/>
          <w:iCs/>
          <w:sz w:val="22"/>
          <w:szCs w:val="22"/>
          <w:lang w:val="es-PE" w:eastAsia="es-VE"/>
        </w:rPr>
        <w:t>Tabla 2</w:t>
      </w:r>
      <w:r>
        <w:rPr>
          <w:rFonts w:cstheme="minorHAnsi"/>
          <w:i/>
          <w:iCs/>
          <w:sz w:val="22"/>
          <w:szCs w:val="22"/>
          <w:lang w:eastAsia="es-VE"/>
        </w:rPr>
        <w:t xml:space="preserve">. </w:t>
      </w:r>
      <w:r>
        <w:rPr>
          <w:rFonts w:cstheme="minorHAnsi"/>
          <w:b w:val="0"/>
          <w:bCs w:val="0"/>
          <w:i/>
          <w:iCs/>
          <w:sz w:val="22"/>
          <w:szCs w:val="22"/>
          <w:lang w:val="es-PE" w:eastAsia="es-VE"/>
        </w:rPr>
        <w:t>Medias de las variables antes y después de la implementación del sistema tutorial</w:t>
      </w:r>
    </w:p>
    <w:tbl>
      <w:tblPr>
        <w:tblStyle w:val="Tablanormal31"/>
        <w:tblW w:w="0" w:type="auto"/>
        <w:jc w:val="center"/>
        <w:tblLook w:val="04A0" w:firstRow="1" w:lastRow="0" w:firstColumn="1" w:lastColumn="0" w:noHBand="0" w:noVBand="1"/>
      </w:tblPr>
      <w:tblGrid>
        <w:gridCol w:w="2384"/>
        <w:gridCol w:w="999"/>
        <w:gridCol w:w="1181"/>
        <w:gridCol w:w="2140"/>
      </w:tblGrid>
      <w:tr w:rsidR="00726E42" w:rsidRPr="00087F2C" w14:paraId="5290BAAE" w14:textId="77777777" w:rsidTr="00726E4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tcBorders>
              <w:top w:val="single" w:sz="8" w:space="0" w:color="000000"/>
              <w:left w:val="single" w:sz="8" w:space="0" w:color="000000"/>
              <w:bottom w:val="nil"/>
              <w:right w:val="dotted" w:sz="0" w:space="0" w:color="auto"/>
            </w:tcBorders>
            <w:shd w:val="clear" w:color="auto" w:fill="000000"/>
          </w:tcPr>
          <w:p w14:paraId="4BF94BB6" w14:textId="77777777" w:rsidR="00726E42" w:rsidRPr="00087F2C" w:rsidRDefault="00000000">
            <w:pPr>
              <w:pStyle w:val="Ttulo2"/>
              <w:spacing w:before="0" w:after="0"/>
              <w:jc w:val="center"/>
              <w:rPr>
                <w:rFonts w:cstheme="minorHAnsi"/>
                <w:b/>
                <w:bCs/>
                <w:color w:val="FFFFFF"/>
                <w:sz w:val="18"/>
                <w:szCs w:val="18"/>
                <w:lang w:val="es-PE" w:eastAsia="es-VE"/>
              </w:rPr>
            </w:pPr>
            <w:r w:rsidRPr="00087F2C">
              <w:rPr>
                <w:rFonts w:cstheme="minorHAnsi"/>
                <w:color w:val="FFFFFF"/>
                <w:sz w:val="18"/>
                <w:szCs w:val="18"/>
                <w:lang w:val="es-PE" w:eastAsia="es-VE"/>
              </w:rPr>
              <w:t>Variable</w:t>
            </w:r>
          </w:p>
        </w:tc>
        <w:tc>
          <w:tcPr>
            <w:tcW w:w="0" w:type="auto"/>
            <w:tcBorders>
              <w:top w:val="single" w:sz="8" w:space="0" w:color="000000"/>
              <w:left w:val="dotted" w:sz="4" w:space="0" w:color="auto"/>
              <w:bottom w:val="nil"/>
              <w:right w:val="dotted" w:sz="4" w:space="0" w:color="auto"/>
            </w:tcBorders>
            <w:shd w:val="clear" w:color="auto" w:fill="000000"/>
          </w:tcPr>
          <w:p w14:paraId="35DA5A2A" w14:textId="77777777" w:rsidR="00726E42" w:rsidRPr="00087F2C" w:rsidRDefault="00000000">
            <w:pPr>
              <w:pStyle w:val="Ttulo2"/>
              <w:spacing w:before="0" w:after="0"/>
              <w:jc w:val="center"/>
              <w:cnfStyle w:val="100000000000" w:firstRow="1" w:lastRow="0" w:firstColumn="0" w:lastColumn="0" w:oddVBand="0" w:evenVBand="0" w:oddHBand="0" w:evenHBand="0" w:firstRowFirstColumn="0" w:firstRowLastColumn="0" w:lastRowFirstColumn="0" w:lastRowLastColumn="0"/>
              <w:rPr>
                <w:rFonts w:cstheme="minorHAnsi"/>
                <w:b/>
                <w:bCs/>
                <w:color w:val="FFFFFF"/>
                <w:sz w:val="18"/>
                <w:szCs w:val="18"/>
                <w:lang w:val="es-PE" w:eastAsia="es-VE"/>
              </w:rPr>
            </w:pPr>
            <w:r w:rsidRPr="00087F2C">
              <w:rPr>
                <w:rFonts w:cstheme="minorHAnsi"/>
                <w:color w:val="FFFFFF"/>
                <w:sz w:val="18"/>
                <w:szCs w:val="18"/>
                <w:lang w:val="es-PE" w:eastAsia="es-VE"/>
              </w:rPr>
              <w:t>Antes (M)</w:t>
            </w:r>
          </w:p>
        </w:tc>
        <w:tc>
          <w:tcPr>
            <w:tcW w:w="0" w:type="auto"/>
            <w:tcBorders>
              <w:top w:val="single" w:sz="8" w:space="0" w:color="000000"/>
              <w:left w:val="dotted" w:sz="4" w:space="0" w:color="auto"/>
              <w:bottom w:val="nil"/>
              <w:right w:val="dotted" w:sz="4" w:space="0" w:color="auto"/>
            </w:tcBorders>
            <w:shd w:val="clear" w:color="auto" w:fill="000000"/>
          </w:tcPr>
          <w:p w14:paraId="14C1C26B" w14:textId="77777777" w:rsidR="00726E42" w:rsidRPr="00087F2C" w:rsidRDefault="00000000">
            <w:pPr>
              <w:pStyle w:val="Ttulo2"/>
              <w:spacing w:before="0" w:after="0"/>
              <w:jc w:val="center"/>
              <w:cnfStyle w:val="100000000000" w:firstRow="1" w:lastRow="0" w:firstColumn="0" w:lastColumn="0" w:oddVBand="0" w:evenVBand="0" w:oddHBand="0" w:evenHBand="0" w:firstRowFirstColumn="0" w:firstRowLastColumn="0" w:lastRowFirstColumn="0" w:lastRowLastColumn="0"/>
              <w:rPr>
                <w:rFonts w:cstheme="minorHAnsi"/>
                <w:b/>
                <w:bCs/>
                <w:color w:val="FFFFFF"/>
                <w:sz w:val="18"/>
                <w:szCs w:val="18"/>
                <w:lang w:val="es-PE" w:eastAsia="es-VE"/>
              </w:rPr>
            </w:pPr>
            <w:r w:rsidRPr="00087F2C">
              <w:rPr>
                <w:rFonts w:cstheme="minorHAnsi"/>
                <w:color w:val="FFFFFF"/>
                <w:sz w:val="18"/>
                <w:szCs w:val="18"/>
                <w:lang w:val="es-PE" w:eastAsia="es-VE"/>
              </w:rPr>
              <w:t>Después (M)</w:t>
            </w:r>
          </w:p>
        </w:tc>
        <w:tc>
          <w:tcPr>
            <w:tcW w:w="0" w:type="auto"/>
            <w:tcBorders>
              <w:top w:val="single" w:sz="8" w:space="0" w:color="000000"/>
              <w:left w:val="dotted" w:sz="4" w:space="0" w:color="auto"/>
              <w:bottom w:val="nil"/>
              <w:right w:val="single" w:sz="8" w:space="0" w:color="000000"/>
            </w:tcBorders>
            <w:shd w:val="clear" w:color="auto" w:fill="000000"/>
          </w:tcPr>
          <w:p w14:paraId="684C4F72" w14:textId="77777777" w:rsidR="00726E42" w:rsidRPr="00087F2C" w:rsidRDefault="00000000">
            <w:pPr>
              <w:pStyle w:val="Ttulo2"/>
              <w:spacing w:before="0" w:after="0"/>
              <w:jc w:val="center"/>
              <w:cnfStyle w:val="100000000000" w:firstRow="1" w:lastRow="0" w:firstColumn="0" w:lastColumn="0" w:oddVBand="0" w:evenVBand="0" w:oddHBand="0" w:evenHBand="0" w:firstRowFirstColumn="0" w:firstRowLastColumn="0" w:lastRowFirstColumn="0" w:lastRowLastColumn="0"/>
              <w:rPr>
                <w:rFonts w:cstheme="minorHAnsi"/>
                <w:b/>
                <w:bCs/>
                <w:color w:val="FFFFFF"/>
                <w:sz w:val="18"/>
                <w:szCs w:val="18"/>
                <w:lang w:val="es-PE" w:eastAsia="es-VE"/>
              </w:rPr>
            </w:pPr>
            <w:r w:rsidRPr="00087F2C">
              <w:rPr>
                <w:rFonts w:cstheme="minorHAnsi"/>
                <w:color w:val="FFFFFF"/>
                <w:sz w:val="18"/>
                <w:szCs w:val="18"/>
                <w:lang w:val="es-PE" w:eastAsia="es-VE"/>
              </w:rPr>
              <w:t>Tendencia Observada</w:t>
            </w:r>
          </w:p>
        </w:tc>
      </w:tr>
      <w:tr w:rsidR="00726E42" w:rsidRPr="00087F2C" w14:paraId="7FD11AC0" w14:textId="77777777" w:rsidTr="00726E42">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FFFFFF"/>
          </w:tcPr>
          <w:p w14:paraId="15567F21" w14:textId="2B718FB3" w:rsidR="00726E42" w:rsidRPr="00087F2C" w:rsidRDefault="007563CD">
            <w:pPr>
              <w:pStyle w:val="Ttulo2"/>
              <w:spacing w:before="0" w:after="0"/>
              <w:jc w:val="both"/>
              <w:rPr>
                <w:rFonts w:cstheme="minorHAnsi"/>
                <w:b/>
                <w:bCs/>
                <w:color w:val="000000"/>
                <w:sz w:val="18"/>
                <w:szCs w:val="18"/>
                <w:lang w:val="es-PE" w:eastAsia="es-VE"/>
              </w:rPr>
            </w:pPr>
            <w:r w:rsidRPr="00087F2C">
              <w:rPr>
                <w:rFonts w:cstheme="minorHAnsi"/>
                <w:caps w:val="0"/>
                <w:color w:val="000000"/>
                <w:sz w:val="18"/>
                <w:szCs w:val="18"/>
                <w:lang w:val="es-PE" w:eastAsia="es-VE"/>
              </w:rPr>
              <w:t>Competencias Digitales (Tic)</w:t>
            </w:r>
          </w:p>
        </w:tc>
        <w:tc>
          <w:tcPr>
            <w:tcW w:w="0" w:type="auto"/>
            <w:tcBorders>
              <w:top w:val="nil"/>
              <w:left w:val="nil"/>
              <w:bottom w:val="nil"/>
              <w:right w:val="nil"/>
            </w:tcBorders>
            <w:shd w:val="clear" w:color="auto" w:fill="FFFFFF"/>
          </w:tcPr>
          <w:p w14:paraId="3257C744" w14:textId="77777777" w:rsidR="00726E42" w:rsidRPr="00087F2C" w:rsidRDefault="00000000">
            <w:pPr>
              <w:pStyle w:val="Ttulo2"/>
              <w:spacing w:before="0" w:after="0"/>
              <w:jc w:val="center"/>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sidRPr="00087F2C">
              <w:rPr>
                <w:rFonts w:cstheme="minorHAnsi"/>
                <w:b w:val="0"/>
                <w:bCs w:val="0"/>
                <w:color w:val="000000"/>
                <w:sz w:val="18"/>
                <w:szCs w:val="18"/>
                <w:lang w:val="es-PE" w:eastAsia="es-VE"/>
              </w:rPr>
              <w:t>2,31</w:t>
            </w:r>
          </w:p>
        </w:tc>
        <w:tc>
          <w:tcPr>
            <w:tcW w:w="0" w:type="auto"/>
            <w:tcBorders>
              <w:top w:val="nil"/>
              <w:left w:val="nil"/>
              <w:bottom w:val="nil"/>
              <w:right w:val="nil"/>
            </w:tcBorders>
            <w:shd w:val="clear" w:color="auto" w:fill="FFFFFF"/>
          </w:tcPr>
          <w:p w14:paraId="6C8450F8" w14:textId="77777777" w:rsidR="00726E42" w:rsidRPr="00087F2C" w:rsidRDefault="00000000">
            <w:pPr>
              <w:pStyle w:val="Ttulo2"/>
              <w:spacing w:before="0" w:after="0"/>
              <w:jc w:val="center"/>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sidRPr="00087F2C">
              <w:rPr>
                <w:rFonts w:cstheme="minorHAnsi"/>
                <w:b w:val="0"/>
                <w:bCs w:val="0"/>
                <w:color w:val="000000"/>
                <w:sz w:val="18"/>
                <w:szCs w:val="18"/>
                <w:lang w:val="es-PE" w:eastAsia="es-VE"/>
              </w:rPr>
              <w:t>4,18</w:t>
            </w:r>
          </w:p>
        </w:tc>
        <w:tc>
          <w:tcPr>
            <w:tcW w:w="0" w:type="auto"/>
            <w:tcBorders>
              <w:top w:val="nil"/>
              <w:left w:val="nil"/>
              <w:bottom w:val="nil"/>
              <w:right w:val="nil"/>
            </w:tcBorders>
            <w:shd w:val="clear" w:color="auto" w:fill="FFFFFF"/>
          </w:tcPr>
          <w:p w14:paraId="2B232F0F" w14:textId="77777777" w:rsidR="00726E42" w:rsidRPr="00087F2C" w:rsidRDefault="00000000">
            <w:pPr>
              <w:pStyle w:val="Ttulo2"/>
              <w:spacing w:before="0" w:after="0"/>
              <w:jc w:val="center"/>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sidRPr="00087F2C">
              <w:rPr>
                <w:rFonts w:cstheme="minorHAnsi"/>
                <w:b w:val="0"/>
                <w:bCs w:val="0"/>
                <w:color w:val="000000"/>
                <w:sz w:val="18"/>
                <w:szCs w:val="18"/>
                <w:lang w:val="es-PE" w:eastAsia="es-VE"/>
              </w:rPr>
              <w:t>Mejora Significativa</w:t>
            </w:r>
          </w:p>
        </w:tc>
      </w:tr>
      <w:tr w:rsidR="00726E42" w:rsidRPr="00087F2C" w14:paraId="055B2569" w14:textId="77777777" w:rsidTr="00726E42">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FFFFFF"/>
          </w:tcPr>
          <w:p w14:paraId="13FC42D2" w14:textId="7B556D6F" w:rsidR="00726E42" w:rsidRPr="00087F2C" w:rsidRDefault="007563CD">
            <w:pPr>
              <w:pStyle w:val="Ttulo2"/>
              <w:spacing w:before="0" w:after="0"/>
              <w:jc w:val="both"/>
              <w:rPr>
                <w:rFonts w:cstheme="minorHAnsi"/>
                <w:b/>
                <w:bCs/>
                <w:color w:val="000000"/>
                <w:sz w:val="18"/>
                <w:szCs w:val="18"/>
                <w:lang w:val="es-PE" w:eastAsia="es-VE"/>
              </w:rPr>
            </w:pPr>
            <w:r w:rsidRPr="00087F2C">
              <w:rPr>
                <w:rFonts w:cstheme="minorHAnsi"/>
                <w:caps w:val="0"/>
                <w:color w:val="000000"/>
                <w:sz w:val="18"/>
                <w:szCs w:val="18"/>
                <w:lang w:val="es-PE" w:eastAsia="es-VE"/>
              </w:rPr>
              <w:t>Colaboración Y Comunicación</w:t>
            </w:r>
          </w:p>
        </w:tc>
        <w:tc>
          <w:tcPr>
            <w:tcW w:w="0" w:type="auto"/>
            <w:tcBorders>
              <w:top w:val="nil"/>
              <w:left w:val="nil"/>
              <w:bottom w:val="nil"/>
              <w:right w:val="nil"/>
            </w:tcBorders>
            <w:shd w:val="clear" w:color="auto" w:fill="FFFFFF"/>
          </w:tcPr>
          <w:p w14:paraId="4F9C2A8F" w14:textId="77777777" w:rsidR="00726E42" w:rsidRPr="00087F2C" w:rsidRDefault="00000000">
            <w:pPr>
              <w:pStyle w:val="Ttulo2"/>
              <w:spacing w:before="0" w:after="0"/>
              <w:jc w:val="center"/>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sidRPr="00087F2C">
              <w:rPr>
                <w:rFonts w:cstheme="minorHAnsi"/>
                <w:b w:val="0"/>
                <w:bCs w:val="0"/>
                <w:color w:val="000000"/>
                <w:sz w:val="18"/>
                <w:szCs w:val="18"/>
                <w:lang w:val="es-PE" w:eastAsia="es-VE"/>
              </w:rPr>
              <w:t>2,57</w:t>
            </w:r>
          </w:p>
        </w:tc>
        <w:tc>
          <w:tcPr>
            <w:tcW w:w="0" w:type="auto"/>
            <w:tcBorders>
              <w:top w:val="nil"/>
              <w:left w:val="nil"/>
              <w:bottom w:val="nil"/>
              <w:right w:val="nil"/>
            </w:tcBorders>
            <w:shd w:val="clear" w:color="auto" w:fill="FFFFFF"/>
          </w:tcPr>
          <w:p w14:paraId="35199999" w14:textId="77777777" w:rsidR="00726E42" w:rsidRPr="00087F2C" w:rsidRDefault="00000000">
            <w:pPr>
              <w:pStyle w:val="Ttulo2"/>
              <w:spacing w:before="0" w:after="0"/>
              <w:jc w:val="center"/>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sidRPr="00087F2C">
              <w:rPr>
                <w:rFonts w:cstheme="minorHAnsi"/>
                <w:b w:val="0"/>
                <w:bCs w:val="0"/>
                <w:color w:val="000000"/>
                <w:sz w:val="18"/>
                <w:szCs w:val="18"/>
                <w:lang w:val="es-PE" w:eastAsia="es-VE"/>
              </w:rPr>
              <w:t>4,05</w:t>
            </w:r>
          </w:p>
        </w:tc>
        <w:tc>
          <w:tcPr>
            <w:tcW w:w="0" w:type="auto"/>
            <w:tcBorders>
              <w:top w:val="nil"/>
              <w:left w:val="nil"/>
              <w:bottom w:val="nil"/>
              <w:right w:val="nil"/>
            </w:tcBorders>
            <w:shd w:val="clear" w:color="auto" w:fill="FFFFFF"/>
          </w:tcPr>
          <w:p w14:paraId="322660C5" w14:textId="77777777" w:rsidR="00726E42" w:rsidRPr="00087F2C" w:rsidRDefault="00000000">
            <w:pPr>
              <w:pStyle w:val="Ttulo2"/>
              <w:spacing w:before="0" w:after="0"/>
              <w:jc w:val="center"/>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sidRPr="00087F2C">
              <w:rPr>
                <w:rFonts w:cstheme="minorHAnsi"/>
                <w:b w:val="0"/>
                <w:bCs w:val="0"/>
                <w:color w:val="000000"/>
                <w:sz w:val="18"/>
                <w:szCs w:val="18"/>
                <w:lang w:val="es-PE" w:eastAsia="es-VE"/>
              </w:rPr>
              <w:t>Incremento Notable</w:t>
            </w:r>
          </w:p>
        </w:tc>
      </w:tr>
      <w:tr w:rsidR="00726E42" w:rsidRPr="00087F2C" w14:paraId="337957C1" w14:textId="77777777" w:rsidTr="00726E42">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FFFFFF"/>
          </w:tcPr>
          <w:p w14:paraId="14B6D755" w14:textId="17178960" w:rsidR="00726E42" w:rsidRPr="00087F2C" w:rsidRDefault="007563CD">
            <w:pPr>
              <w:pStyle w:val="Ttulo2"/>
              <w:spacing w:before="0" w:after="0"/>
              <w:jc w:val="both"/>
              <w:rPr>
                <w:rFonts w:cstheme="minorHAnsi"/>
                <w:b/>
                <w:bCs/>
                <w:color w:val="000000"/>
                <w:sz w:val="18"/>
                <w:szCs w:val="18"/>
                <w:lang w:val="es-PE" w:eastAsia="es-VE"/>
              </w:rPr>
            </w:pPr>
            <w:r w:rsidRPr="00087F2C">
              <w:rPr>
                <w:rFonts w:cstheme="minorHAnsi"/>
                <w:caps w:val="0"/>
                <w:color w:val="000000"/>
                <w:sz w:val="18"/>
                <w:szCs w:val="18"/>
                <w:lang w:val="es-PE" w:eastAsia="es-VE"/>
              </w:rPr>
              <w:t>Integración Social</w:t>
            </w:r>
          </w:p>
        </w:tc>
        <w:tc>
          <w:tcPr>
            <w:tcW w:w="0" w:type="auto"/>
            <w:tcBorders>
              <w:top w:val="nil"/>
              <w:left w:val="nil"/>
              <w:bottom w:val="nil"/>
              <w:right w:val="nil"/>
            </w:tcBorders>
            <w:shd w:val="clear" w:color="auto" w:fill="FFFFFF"/>
          </w:tcPr>
          <w:p w14:paraId="456F9578" w14:textId="77777777" w:rsidR="00726E42" w:rsidRPr="00087F2C" w:rsidRDefault="00000000">
            <w:pPr>
              <w:pStyle w:val="Ttulo2"/>
              <w:spacing w:before="0" w:after="0"/>
              <w:jc w:val="center"/>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sidRPr="00087F2C">
              <w:rPr>
                <w:rFonts w:cstheme="minorHAnsi"/>
                <w:b w:val="0"/>
                <w:bCs w:val="0"/>
                <w:color w:val="000000"/>
                <w:sz w:val="18"/>
                <w:szCs w:val="18"/>
                <w:lang w:val="es-PE" w:eastAsia="es-VE"/>
              </w:rPr>
              <w:t>2,49</w:t>
            </w:r>
          </w:p>
        </w:tc>
        <w:tc>
          <w:tcPr>
            <w:tcW w:w="0" w:type="auto"/>
            <w:tcBorders>
              <w:top w:val="nil"/>
              <w:left w:val="nil"/>
              <w:bottom w:val="nil"/>
              <w:right w:val="nil"/>
            </w:tcBorders>
            <w:shd w:val="clear" w:color="auto" w:fill="FFFFFF"/>
          </w:tcPr>
          <w:p w14:paraId="64C60245" w14:textId="77777777" w:rsidR="00726E42" w:rsidRPr="00087F2C" w:rsidRDefault="00000000">
            <w:pPr>
              <w:pStyle w:val="Ttulo2"/>
              <w:spacing w:before="0" w:after="0"/>
              <w:jc w:val="center"/>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sidRPr="00087F2C">
              <w:rPr>
                <w:rFonts w:cstheme="minorHAnsi"/>
                <w:b w:val="0"/>
                <w:bCs w:val="0"/>
                <w:color w:val="000000"/>
                <w:sz w:val="18"/>
                <w:szCs w:val="18"/>
                <w:lang w:val="es-PE" w:eastAsia="es-VE"/>
              </w:rPr>
              <w:t>4,09</w:t>
            </w:r>
          </w:p>
        </w:tc>
        <w:tc>
          <w:tcPr>
            <w:tcW w:w="0" w:type="auto"/>
            <w:tcBorders>
              <w:top w:val="nil"/>
              <w:left w:val="nil"/>
              <w:bottom w:val="nil"/>
              <w:right w:val="nil"/>
            </w:tcBorders>
            <w:shd w:val="clear" w:color="auto" w:fill="FFFFFF"/>
          </w:tcPr>
          <w:p w14:paraId="1B51FD91" w14:textId="77777777" w:rsidR="00726E42" w:rsidRPr="00087F2C" w:rsidRDefault="00000000">
            <w:pPr>
              <w:pStyle w:val="Ttulo2"/>
              <w:spacing w:before="0" w:after="0"/>
              <w:jc w:val="center"/>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sidRPr="00087F2C">
              <w:rPr>
                <w:rFonts w:cstheme="minorHAnsi"/>
                <w:b w:val="0"/>
                <w:bCs w:val="0"/>
                <w:color w:val="000000"/>
                <w:sz w:val="18"/>
                <w:szCs w:val="18"/>
                <w:lang w:val="es-PE" w:eastAsia="es-VE"/>
              </w:rPr>
              <w:t>Mayor Cohesión</w:t>
            </w:r>
          </w:p>
        </w:tc>
      </w:tr>
      <w:tr w:rsidR="00726E42" w:rsidRPr="00087F2C" w14:paraId="07665F5E" w14:textId="77777777" w:rsidTr="00726E42">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FFFFFF"/>
          </w:tcPr>
          <w:p w14:paraId="512843CE" w14:textId="31C67E04" w:rsidR="00726E42" w:rsidRPr="00087F2C" w:rsidRDefault="007563CD">
            <w:pPr>
              <w:pStyle w:val="Ttulo2"/>
              <w:spacing w:before="0" w:after="0"/>
              <w:jc w:val="both"/>
              <w:rPr>
                <w:rFonts w:cstheme="minorHAnsi"/>
                <w:b/>
                <w:bCs/>
                <w:color w:val="000000"/>
                <w:sz w:val="18"/>
                <w:szCs w:val="18"/>
                <w:lang w:val="es-PE" w:eastAsia="es-VE"/>
              </w:rPr>
            </w:pPr>
            <w:r w:rsidRPr="00087F2C">
              <w:rPr>
                <w:rFonts w:cstheme="minorHAnsi"/>
                <w:caps w:val="0"/>
                <w:color w:val="000000"/>
                <w:sz w:val="18"/>
                <w:szCs w:val="18"/>
                <w:lang w:val="es-PE" w:eastAsia="es-VE"/>
              </w:rPr>
              <w:t>Calidad Educativa</w:t>
            </w:r>
          </w:p>
        </w:tc>
        <w:tc>
          <w:tcPr>
            <w:tcW w:w="0" w:type="auto"/>
            <w:tcBorders>
              <w:top w:val="nil"/>
              <w:left w:val="nil"/>
              <w:bottom w:val="nil"/>
              <w:right w:val="nil"/>
            </w:tcBorders>
            <w:shd w:val="clear" w:color="auto" w:fill="FFFFFF"/>
          </w:tcPr>
          <w:p w14:paraId="10BE14A0" w14:textId="77777777" w:rsidR="00726E42" w:rsidRPr="00087F2C" w:rsidRDefault="00000000">
            <w:pPr>
              <w:pStyle w:val="Ttulo2"/>
              <w:spacing w:before="0" w:after="0"/>
              <w:jc w:val="center"/>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sidRPr="00087F2C">
              <w:rPr>
                <w:rFonts w:cstheme="minorHAnsi"/>
                <w:b w:val="0"/>
                <w:bCs w:val="0"/>
                <w:color w:val="000000"/>
                <w:sz w:val="18"/>
                <w:szCs w:val="18"/>
                <w:lang w:val="es-PE" w:eastAsia="es-VE"/>
              </w:rPr>
              <w:t>2,61</w:t>
            </w:r>
          </w:p>
        </w:tc>
        <w:tc>
          <w:tcPr>
            <w:tcW w:w="0" w:type="auto"/>
            <w:tcBorders>
              <w:top w:val="nil"/>
              <w:left w:val="nil"/>
              <w:bottom w:val="nil"/>
              <w:right w:val="nil"/>
            </w:tcBorders>
            <w:shd w:val="clear" w:color="auto" w:fill="FFFFFF"/>
          </w:tcPr>
          <w:p w14:paraId="6729E8FB" w14:textId="77777777" w:rsidR="00726E42" w:rsidRPr="00087F2C" w:rsidRDefault="00000000">
            <w:pPr>
              <w:pStyle w:val="Ttulo2"/>
              <w:spacing w:before="0" w:after="0"/>
              <w:jc w:val="center"/>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sidRPr="00087F2C">
              <w:rPr>
                <w:rFonts w:cstheme="minorHAnsi"/>
                <w:b w:val="0"/>
                <w:bCs w:val="0"/>
                <w:color w:val="000000"/>
                <w:sz w:val="18"/>
                <w:szCs w:val="18"/>
                <w:lang w:val="es-PE" w:eastAsia="es-VE"/>
              </w:rPr>
              <w:t>4,23</w:t>
            </w:r>
          </w:p>
        </w:tc>
        <w:tc>
          <w:tcPr>
            <w:tcW w:w="0" w:type="auto"/>
            <w:tcBorders>
              <w:top w:val="nil"/>
              <w:left w:val="nil"/>
              <w:bottom w:val="nil"/>
              <w:right w:val="nil"/>
            </w:tcBorders>
            <w:shd w:val="clear" w:color="auto" w:fill="FFFFFF"/>
          </w:tcPr>
          <w:p w14:paraId="4DDBE17D" w14:textId="77777777" w:rsidR="00726E42" w:rsidRPr="00087F2C" w:rsidRDefault="00000000">
            <w:pPr>
              <w:pStyle w:val="Ttulo2"/>
              <w:spacing w:before="0" w:after="0"/>
              <w:jc w:val="center"/>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sidRPr="00087F2C">
              <w:rPr>
                <w:rFonts w:cstheme="minorHAnsi"/>
                <w:b w:val="0"/>
                <w:bCs w:val="0"/>
                <w:color w:val="000000"/>
                <w:sz w:val="18"/>
                <w:szCs w:val="18"/>
                <w:lang w:val="es-PE" w:eastAsia="es-VE"/>
              </w:rPr>
              <w:t>Percepción Más Favorable</w:t>
            </w:r>
          </w:p>
        </w:tc>
      </w:tr>
      <w:tr w:rsidR="00726E42" w:rsidRPr="00087F2C" w14:paraId="00E4D709" w14:textId="77777777" w:rsidTr="00726E42">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FFFFFF"/>
          </w:tcPr>
          <w:p w14:paraId="7D653C49" w14:textId="0D342338" w:rsidR="00726E42" w:rsidRPr="00087F2C" w:rsidRDefault="007563CD">
            <w:pPr>
              <w:pStyle w:val="Ttulo2"/>
              <w:spacing w:before="0" w:after="0"/>
              <w:jc w:val="both"/>
              <w:rPr>
                <w:rFonts w:cstheme="minorHAnsi"/>
                <w:b/>
                <w:bCs/>
                <w:color w:val="000000"/>
                <w:sz w:val="18"/>
                <w:szCs w:val="18"/>
                <w:lang w:val="es-PE" w:eastAsia="es-VE"/>
              </w:rPr>
            </w:pPr>
            <w:r w:rsidRPr="00087F2C">
              <w:rPr>
                <w:rFonts w:cstheme="minorHAnsi"/>
                <w:caps w:val="0"/>
                <w:color w:val="000000"/>
                <w:sz w:val="18"/>
                <w:szCs w:val="18"/>
                <w:lang w:val="es-PE" w:eastAsia="es-VE"/>
              </w:rPr>
              <w:t>Actividades Extracurriculares</w:t>
            </w:r>
          </w:p>
        </w:tc>
        <w:tc>
          <w:tcPr>
            <w:tcW w:w="0" w:type="auto"/>
            <w:tcBorders>
              <w:top w:val="nil"/>
              <w:left w:val="nil"/>
              <w:bottom w:val="nil"/>
              <w:right w:val="nil"/>
            </w:tcBorders>
            <w:shd w:val="clear" w:color="auto" w:fill="FFFFFF"/>
          </w:tcPr>
          <w:p w14:paraId="2FC6C3FE" w14:textId="77777777" w:rsidR="00726E42" w:rsidRPr="00087F2C" w:rsidRDefault="00000000">
            <w:pPr>
              <w:pStyle w:val="Ttulo2"/>
              <w:spacing w:before="0" w:after="0"/>
              <w:jc w:val="center"/>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sidRPr="00087F2C">
              <w:rPr>
                <w:rFonts w:cstheme="minorHAnsi"/>
                <w:b w:val="0"/>
                <w:bCs w:val="0"/>
                <w:color w:val="000000"/>
                <w:sz w:val="18"/>
                <w:szCs w:val="18"/>
                <w:lang w:val="es-PE" w:eastAsia="es-VE"/>
              </w:rPr>
              <w:t>2,43</w:t>
            </w:r>
          </w:p>
        </w:tc>
        <w:tc>
          <w:tcPr>
            <w:tcW w:w="0" w:type="auto"/>
            <w:tcBorders>
              <w:top w:val="nil"/>
              <w:left w:val="nil"/>
              <w:bottom w:val="nil"/>
              <w:right w:val="nil"/>
            </w:tcBorders>
            <w:shd w:val="clear" w:color="auto" w:fill="FFFFFF"/>
          </w:tcPr>
          <w:p w14:paraId="7759AA55" w14:textId="77777777" w:rsidR="00726E42" w:rsidRPr="00087F2C" w:rsidRDefault="00000000">
            <w:pPr>
              <w:pStyle w:val="Ttulo2"/>
              <w:spacing w:before="0" w:after="0"/>
              <w:jc w:val="center"/>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sidRPr="00087F2C">
              <w:rPr>
                <w:rFonts w:cstheme="minorHAnsi"/>
                <w:b w:val="0"/>
                <w:bCs w:val="0"/>
                <w:color w:val="000000"/>
                <w:sz w:val="18"/>
                <w:szCs w:val="18"/>
                <w:lang w:val="es-PE" w:eastAsia="es-VE"/>
              </w:rPr>
              <w:t>4,12</w:t>
            </w:r>
          </w:p>
        </w:tc>
        <w:tc>
          <w:tcPr>
            <w:tcW w:w="0" w:type="auto"/>
            <w:tcBorders>
              <w:top w:val="nil"/>
              <w:left w:val="nil"/>
              <w:bottom w:val="nil"/>
              <w:right w:val="nil"/>
            </w:tcBorders>
            <w:shd w:val="clear" w:color="auto" w:fill="FFFFFF"/>
          </w:tcPr>
          <w:p w14:paraId="45E86E86" w14:textId="77777777" w:rsidR="00726E42" w:rsidRPr="00087F2C" w:rsidRDefault="00000000">
            <w:pPr>
              <w:pStyle w:val="Ttulo2"/>
              <w:spacing w:before="0" w:after="0"/>
              <w:jc w:val="center"/>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sidRPr="00087F2C">
              <w:rPr>
                <w:rFonts w:cstheme="minorHAnsi"/>
                <w:b w:val="0"/>
                <w:bCs w:val="0"/>
                <w:color w:val="000000"/>
                <w:sz w:val="18"/>
                <w:szCs w:val="18"/>
                <w:lang w:val="es-PE" w:eastAsia="es-VE"/>
              </w:rPr>
              <w:t>Crecimiento Relevante</w:t>
            </w:r>
          </w:p>
        </w:tc>
      </w:tr>
      <w:tr w:rsidR="00726E42" w:rsidRPr="00087F2C" w14:paraId="60A96E3E" w14:textId="77777777" w:rsidTr="00726E42">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FFFFFF"/>
          </w:tcPr>
          <w:p w14:paraId="661A2B44" w14:textId="0BEF2100" w:rsidR="00726E42" w:rsidRPr="00087F2C" w:rsidRDefault="007563CD">
            <w:pPr>
              <w:pStyle w:val="Ttulo2"/>
              <w:spacing w:before="0" w:after="0"/>
              <w:jc w:val="both"/>
              <w:rPr>
                <w:rFonts w:cstheme="minorHAnsi"/>
                <w:b/>
                <w:bCs/>
                <w:color w:val="000000"/>
                <w:sz w:val="18"/>
                <w:szCs w:val="18"/>
                <w:lang w:val="es-PE" w:eastAsia="es-VE"/>
              </w:rPr>
            </w:pPr>
            <w:r w:rsidRPr="00087F2C">
              <w:rPr>
                <w:rFonts w:cstheme="minorHAnsi"/>
                <w:caps w:val="0"/>
                <w:color w:val="000000"/>
                <w:sz w:val="18"/>
                <w:szCs w:val="18"/>
                <w:lang w:val="es-PE" w:eastAsia="es-VE"/>
              </w:rPr>
              <w:t>Recursos Académicos</w:t>
            </w:r>
          </w:p>
        </w:tc>
        <w:tc>
          <w:tcPr>
            <w:tcW w:w="0" w:type="auto"/>
            <w:tcBorders>
              <w:top w:val="nil"/>
              <w:left w:val="nil"/>
              <w:bottom w:val="nil"/>
              <w:right w:val="nil"/>
            </w:tcBorders>
            <w:shd w:val="clear" w:color="auto" w:fill="FFFFFF"/>
          </w:tcPr>
          <w:p w14:paraId="14FAB5FC" w14:textId="77777777" w:rsidR="00726E42" w:rsidRPr="00087F2C" w:rsidRDefault="00000000">
            <w:pPr>
              <w:pStyle w:val="Ttulo2"/>
              <w:spacing w:before="0" w:after="0"/>
              <w:jc w:val="center"/>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sidRPr="00087F2C">
              <w:rPr>
                <w:rFonts w:cstheme="minorHAnsi"/>
                <w:b w:val="0"/>
                <w:bCs w:val="0"/>
                <w:color w:val="000000"/>
                <w:sz w:val="18"/>
                <w:szCs w:val="18"/>
                <w:lang w:val="es-PE" w:eastAsia="es-VE"/>
              </w:rPr>
              <w:t>2,52</w:t>
            </w:r>
          </w:p>
        </w:tc>
        <w:tc>
          <w:tcPr>
            <w:tcW w:w="0" w:type="auto"/>
            <w:tcBorders>
              <w:top w:val="nil"/>
              <w:left w:val="nil"/>
              <w:bottom w:val="nil"/>
              <w:right w:val="nil"/>
            </w:tcBorders>
            <w:shd w:val="clear" w:color="auto" w:fill="FFFFFF"/>
          </w:tcPr>
          <w:p w14:paraId="71244129" w14:textId="77777777" w:rsidR="00726E42" w:rsidRPr="00087F2C" w:rsidRDefault="00000000">
            <w:pPr>
              <w:pStyle w:val="Ttulo2"/>
              <w:spacing w:before="0" w:after="0"/>
              <w:jc w:val="center"/>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sidRPr="00087F2C">
              <w:rPr>
                <w:rFonts w:cstheme="minorHAnsi"/>
                <w:b w:val="0"/>
                <w:bCs w:val="0"/>
                <w:color w:val="000000"/>
                <w:sz w:val="18"/>
                <w:szCs w:val="18"/>
                <w:lang w:val="es-PE" w:eastAsia="es-VE"/>
              </w:rPr>
              <w:t>4,20</w:t>
            </w:r>
          </w:p>
        </w:tc>
        <w:tc>
          <w:tcPr>
            <w:tcW w:w="0" w:type="auto"/>
            <w:tcBorders>
              <w:top w:val="nil"/>
              <w:left w:val="nil"/>
              <w:bottom w:val="nil"/>
              <w:right w:val="nil"/>
            </w:tcBorders>
            <w:shd w:val="clear" w:color="auto" w:fill="FFFFFF"/>
          </w:tcPr>
          <w:p w14:paraId="16E4C014" w14:textId="77777777" w:rsidR="00726E42" w:rsidRPr="00087F2C" w:rsidRDefault="00000000">
            <w:pPr>
              <w:pStyle w:val="Ttulo2"/>
              <w:spacing w:before="0" w:after="0"/>
              <w:jc w:val="center"/>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sidRPr="00087F2C">
              <w:rPr>
                <w:rFonts w:cstheme="minorHAnsi"/>
                <w:b w:val="0"/>
                <w:bCs w:val="0"/>
                <w:color w:val="000000"/>
                <w:sz w:val="18"/>
                <w:szCs w:val="18"/>
                <w:lang w:val="es-PE" w:eastAsia="es-VE"/>
              </w:rPr>
              <w:t>Mejora En Disponibilidad</w:t>
            </w:r>
          </w:p>
        </w:tc>
      </w:tr>
      <w:tr w:rsidR="00726E42" w:rsidRPr="00087F2C" w14:paraId="0DAB0885" w14:textId="77777777" w:rsidTr="00726E42">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auto"/>
              <w:right w:val="nil"/>
            </w:tcBorders>
            <w:shd w:val="clear" w:color="auto" w:fill="FFFFFF"/>
          </w:tcPr>
          <w:p w14:paraId="5EF73C74" w14:textId="598BD414" w:rsidR="00726E42" w:rsidRPr="00087F2C" w:rsidRDefault="007563CD">
            <w:pPr>
              <w:pStyle w:val="Ttulo2"/>
              <w:spacing w:before="0" w:after="0"/>
              <w:jc w:val="both"/>
              <w:rPr>
                <w:rFonts w:cstheme="minorHAnsi"/>
                <w:b/>
                <w:bCs/>
                <w:color w:val="000000"/>
                <w:sz w:val="18"/>
                <w:szCs w:val="18"/>
                <w:lang w:val="es-PE" w:eastAsia="es-VE"/>
              </w:rPr>
            </w:pPr>
            <w:r w:rsidRPr="00087F2C">
              <w:rPr>
                <w:rFonts w:cstheme="minorHAnsi"/>
                <w:caps w:val="0"/>
                <w:color w:val="000000"/>
                <w:sz w:val="18"/>
                <w:szCs w:val="18"/>
                <w:lang w:val="es-PE" w:eastAsia="es-VE"/>
              </w:rPr>
              <w:t>Satisfacción General</w:t>
            </w:r>
          </w:p>
        </w:tc>
        <w:tc>
          <w:tcPr>
            <w:tcW w:w="0" w:type="auto"/>
            <w:tcBorders>
              <w:top w:val="nil"/>
              <w:left w:val="nil"/>
              <w:bottom w:val="single" w:sz="4" w:space="0" w:color="auto"/>
              <w:right w:val="nil"/>
            </w:tcBorders>
            <w:shd w:val="clear" w:color="auto" w:fill="FFFFFF"/>
          </w:tcPr>
          <w:p w14:paraId="4DD7189D" w14:textId="77777777" w:rsidR="00726E42" w:rsidRPr="00087F2C" w:rsidRDefault="00000000">
            <w:pPr>
              <w:pStyle w:val="Ttulo2"/>
              <w:spacing w:before="0" w:after="0"/>
              <w:jc w:val="center"/>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sidRPr="00087F2C">
              <w:rPr>
                <w:rFonts w:cstheme="minorHAnsi"/>
                <w:b w:val="0"/>
                <w:bCs w:val="0"/>
                <w:color w:val="000000"/>
                <w:sz w:val="18"/>
                <w:szCs w:val="18"/>
                <w:lang w:val="es-PE" w:eastAsia="es-VE"/>
              </w:rPr>
              <w:t>2,58</w:t>
            </w:r>
          </w:p>
        </w:tc>
        <w:tc>
          <w:tcPr>
            <w:tcW w:w="0" w:type="auto"/>
            <w:tcBorders>
              <w:top w:val="nil"/>
              <w:left w:val="nil"/>
              <w:bottom w:val="single" w:sz="4" w:space="0" w:color="auto"/>
              <w:right w:val="nil"/>
            </w:tcBorders>
            <w:shd w:val="clear" w:color="auto" w:fill="FFFFFF"/>
          </w:tcPr>
          <w:p w14:paraId="4FD81D25" w14:textId="77777777" w:rsidR="00726E42" w:rsidRPr="00087F2C" w:rsidRDefault="00000000">
            <w:pPr>
              <w:pStyle w:val="Ttulo2"/>
              <w:spacing w:before="0" w:after="0"/>
              <w:jc w:val="center"/>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sidRPr="00087F2C">
              <w:rPr>
                <w:rFonts w:cstheme="minorHAnsi"/>
                <w:b w:val="0"/>
                <w:bCs w:val="0"/>
                <w:color w:val="000000"/>
                <w:sz w:val="18"/>
                <w:szCs w:val="18"/>
                <w:lang w:val="es-PE" w:eastAsia="es-VE"/>
              </w:rPr>
              <w:t>4,21</w:t>
            </w:r>
          </w:p>
        </w:tc>
        <w:tc>
          <w:tcPr>
            <w:tcW w:w="0" w:type="auto"/>
            <w:tcBorders>
              <w:top w:val="nil"/>
              <w:left w:val="nil"/>
              <w:bottom w:val="single" w:sz="4" w:space="0" w:color="auto"/>
              <w:right w:val="nil"/>
            </w:tcBorders>
            <w:shd w:val="clear" w:color="auto" w:fill="FFFFFF"/>
          </w:tcPr>
          <w:p w14:paraId="30E2F3AD" w14:textId="77777777" w:rsidR="00726E42" w:rsidRPr="00087F2C" w:rsidRDefault="00000000">
            <w:pPr>
              <w:pStyle w:val="Ttulo2"/>
              <w:spacing w:before="0" w:after="0"/>
              <w:jc w:val="center"/>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sidRPr="00087F2C">
              <w:rPr>
                <w:rFonts w:cstheme="minorHAnsi"/>
                <w:b w:val="0"/>
                <w:bCs w:val="0"/>
                <w:color w:val="000000"/>
                <w:sz w:val="18"/>
                <w:szCs w:val="18"/>
                <w:lang w:val="es-PE" w:eastAsia="es-VE"/>
              </w:rPr>
              <w:t>Incremento Sustancial</w:t>
            </w:r>
          </w:p>
        </w:tc>
      </w:tr>
    </w:tbl>
    <w:p w14:paraId="75729388" w14:textId="77777777" w:rsidR="00726E42" w:rsidRDefault="00726E42">
      <w:pPr>
        <w:pStyle w:val="Ttulo2"/>
        <w:spacing w:beforeLines="50" w:before="120" w:after="0"/>
        <w:ind w:firstLine="720"/>
        <w:jc w:val="both"/>
        <w:rPr>
          <w:rFonts w:cstheme="minorHAnsi"/>
          <w:b w:val="0"/>
          <w:bCs w:val="0"/>
          <w:sz w:val="22"/>
          <w:szCs w:val="22"/>
          <w:lang w:val="es-PE" w:eastAsia="es-VE"/>
        </w:rPr>
      </w:pPr>
    </w:p>
    <w:p w14:paraId="22EFC8A8" w14:textId="77777777" w:rsidR="00087F2C" w:rsidRDefault="00087F2C" w:rsidP="00087F2C">
      <w:pPr>
        <w:pStyle w:val="Ttulo2"/>
        <w:spacing w:before="0" w:after="0"/>
        <w:jc w:val="center"/>
        <w:rPr>
          <w:rFonts w:cstheme="minorHAnsi"/>
          <w:i/>
          <w:iCs/>
          <w:sz w:val="22"/>
          <w:szCs w:val="22"/>
          <w:lang w:val="es-PE" w:eastAsia="es-VE"/>
        </w:rPr>
      </w:pPr>
      <w:r>
        <w:rPr>
          <w:rFonts w:cstheme="minorHAnsi"/>
          <w:i/>
          <w:iCs/>
          <w:noProof/>
          <w:sz w:val="22"/>
          <w:szCs w:val="22"/>
          <w:lang w:val="es-PE" w:eastAsia="es-VE"/>
        </w:rPr>
        <w:drawing>
          <wp:inline distT="0" distB="0" distL="0" distR="0" wp14:anchorId="0C3320C5" wp14:editId="7873F387">
            <wp:extent cx="5612901" cy="2029327"/>
            <wp:effectExtent l="0" t="0" r="698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11542"/>
                    <a:stretch/>
                  </pic:blipFill>
                  <pic:spPr bwMode="auto">
                    <a:xfrm>
                      <a:off x="0" y="0"/>
                      <a:ext cx="5752289" cy="2079722"/>
                    </a:xfrm>
                    <a:prstGeom prst="rect">
                      <a:avLst/>
                    </a:prstGeom>
                    <a:noFill/>
                    <a:ln>
                      <a:noFill/>
                    </a:ln>
                    <a:extLst>
                      <a:ext uri="{53640926-AAD7-44D8-BBD7-CCE9431645EC}">
                        <a14:shadowObscured xmlns:a14="http://schemas.microsoft.com/office/drawing/2010/main"/>
                      </a:ext>
                    </a:extLst>
                  </pic:spPr>
                </pic:pic>
              </a:graphicData>
            </a:graphic>
          </wp:inline>
        </w:drawing>
      </w:r>
    </w:p>
    <w:p w14:paraId="4792B19B" w14:textId="14E7FD5E" w:rsidR="00726E42" w:rsidRPr="00087F2C" w:rsidRDefault="00000000" w:rsidP="000E46A3">
      <w:pPr>
        <w:pStyle w:val="Ttulo2"/>
        <w:spacing w:beforeLines="50" w:before="120" w:after="0"/>
        <w:jc w:val="both"/>
        <w:rPr>
          <w:rFonts w:cstheme="minorHAnsi"/>
          <w:b w:val="0"/>
          <w:bCs w:val="0"/>
          <w:i/>
          <w:iCs/>
          <w:sz w:val="22"/>
          <w:szCs w:val="22"/>
          <w:lang w:val="es-PE" w:eastAsia="es-VE"/>
        </w:rPr>
      </w:pPr>
      <w:r w:rsidRPr="00087F2C">
        <w:rPr>
          <w:rFonts w:cstheme="minorHAnsi"/>
          <w:i/>
          <w:iCs/>
          <w:sz w:val="22"/>
          <w:szCs w:val="22"/>
          <w:lang w:val="es-PE" w:eastAsia="es-VE"/>
        </w:rPr>
        <w:t>Figura 1</w:t>
      </w:r>
      <w:r w:rsidRPr="00087F2C">
        <w:rPr>
          <w:rFonts w:cstheme="minorHAnsi"/>
          <w:b w:val="0"/>
          <w:bCs w:val="0"/>
          <w:i/>
          <w:iCs/>
          <w:sz w:val="22"/>
          <w:szCs w:val="22"/>
          <w:lang w:eastAsia="es-VE"/>
        </w:rPr>
        <w:t xml:space="preserve">. </w:t>
      </w:r>
      <w:r w:rsidRPr="00087F2C">
        <w:rPr>
          <w:rFonts w:cstheme="minorHAnsi"/>
          <w:b w:val="0"/>
          <w:bCs w:val="0"/>
          <w:i/>
          <w:iCs/>
          <w:sz w:val="22"/>
          <w:szCs w:val="22"/>
          <w:lang w:val="es-PE" w:eastAsia="es-VE"/>
        </w:rPr>
        <w:t>Comparación de medias antes y después de la implementación del sistema tutorial</w:t>
      </w:r>
    </w:p>
    <w:p w14:paraId="61B4620C" w14:textId="77777777" w:rsidR="00726E42" w:rsidRDefault="00000000">
      <w:pPr>
        <w:pStyle w:val="Ttulo3"/>
        <w:jc w:val="both"/>
      </w:pPr>
      <w:proofErr w:type="spellStart"/>
      <w:r>
        <w:lastRenderedPageBreak/>
        <w:t>Prueba</w:t>
      </w:r>
      <w:proofErr w:type="spellEnd"/>
      <w:r>
        <w:t xml:space="preserve"> t de Student</w:t>
      </w:r>
    </w:p>
    <w:p w14:paraId="60223EEC" w14:textId="77777777" w:rsidR="00726E42" w:rsidRDefault="00000000">
      <w:pPr>
        <w:pStyle w:val="NormalWeb"/>
        <w:spacing w:before="120" w:beforeAutospacing="0"/>
        <w:ind w:firstLine="720"/>
        <w:jc w:val="both"/>
        <w:rPr>
          <w:rFonts w:ascii="Calibri" w:hAnsi="Calibri" w:cs="Calibri"/>
          <w:sz w:val="22"/>
          <w:szCs w:val="22"/>
        </w:rPr>
      </w:pPr>
      <w:r>
        <w:rPr>
          <w:rFonts w:ascii="Calibri" w:hAnsi="Calibri" w:cs="Calibri"/>
          <w:sz w:val="22"/>
          <w:szCs w:val="22"/>
        </w:rPr>
        <w:t>El análisis estadístico demostró que la mejora en las competencias digitales fue altamente significativa (t=−17</w:t>
      </w:r>
      <w:r>
        <w:rPr>
          <w:rFonts w:ascii="Calibri" w:hAnsi="Calibri" w:cs="Calibri"/>
          <w:sz w:val="22"/>
          <w:szCs w:val="22"/>
          <w:lang w:val="es-ES"/>
        </w:rPr>
        <w:t>,</w:t>
      </w:r>
      <w:r>
        <w:rPr>
          <w:rFonts w:ascii="Calibri" w:hAnsi="Calibri" w:cs="Calibri"/>
          <w:sz w:val="22"/>
          <w:szCs w:val="22"/>
        </w:rPr>
        <w:t>53, p&lt;</w:t>
      </w:r>
      <w:r>
        <w:rPr>
          <w:rFonts w:ascii="Calibri" w:hAnsi="Calibri" w:cs="Calibri"/>
          <w:sz w:val="22"/>
          <w:szCs w:val="22"/>
          <w:lang w:val="es-ES"/>
        </w:rPr>
        <w:t>,</w:t>
      </w:r>
      <w:r>
        <w:rPr>
          <w:rFonts w:ascii="Calibri" w:hAnsi="Calibri" w:cs="Calibri"/>
          <w:sz w:val="22"/>
          <w:szCs w:val="22"/>
        </w:rPr>
        <w:t>001), lo que indica un impacto sustancial en las habilidades tecnológicas de los estudiantes. Asimismo, se encontraron diferencias estadísticamente relevantes en la colaboración y comunicación (t=−13</w:t>
      </w:r>
      <w:r>
        <w:rPr>
          <w:rFonts w:ascii="Calibri" w:hAnsi="Calibri" w:cs="Calibri"/>
          <w:sz w:val="22"/>
          <w:szCs w:val="22"/>
          <w:lang w:val="es-ES"/>
        </w:rPr>
        <w:t>,</w:t>
      </w:r>
      <w:r>
        <w:rPr>
          <w:rFonts w:ascii="Calibri" w:hAnsi="Calibri" w:cs="Calibri"/>
          <w:sz w:val="22"/>
          <w:szCs w:val="22"/>
        </w:rPr>
        <w:t>25, p&lt;</w:t>
      </w:r>
      <w:r>
        <w:rPr>
          <w:rFonts w:ascii="Calibri" w:hAnsi="Calibri" w:cs="Calibri"/>
          <w:sz w:val="22"/>
          <w:szCs w:val="22"/>
          <w:lang w:val="es-ES"/>
        </w:rPr>
        <w:t>,</w:t>
      </w:r>
      <w:r>
        <w:rPr>
          <w:rFonts w:ascii="Calibri" w:hAnsi="Calibri" w:cs="Calibri"/>
          <w:sz w:val="22"/>
          <w:szCs w:val="22"/>
        </w:rPr>
        <w:t>001) y la integración social (t=−13</w:t>
      </w:r>
      <w:r>
        <w:rPr>
          <w:rFonts w:ascii="Calibri" w:hAnsi="Calibri" w:cs="Calibri"/>
          <w:sz w:val="22"/>
          <w:szCs w:val="22"/>
          <w:lang w:val="es-ES"/>
        </w:rPr>
        <w:t>,</w:t>
      </w:r>
      <w:r>
        <w:rPr>
          <w:rFonts w:ascii="Calibri" w:hAnsi="Calibri" w:cs="Calibri"/>
          <w:sz w:val="22"/>
          <w:szCs w:val="22"/>
        </w:rPr>
        <w:t>63, p&lt;</w:t>
      </w:r>
      <w:r>
        <w:rPr>
          <w:rFonts w:ascii="Calibri" w:hAnsi="Calibri" w:cs="Calibri"/>
          <w:sz w:val="22"/>
          <w:szCs w:val="22"/>
          <w:lang w:val="es-ES"/>
        </w:rPr>
        <w:t>,</w:t>
      </w:r>
      <w:r>
        <w:rPr>
          <w:rFonts w:ascii="Calibri" w:hAnsi="Calibri" w:cs="Calibri"/>
          <w:sz w:val="22"/>
          <w:szCs w:val="22"/>
        </w:rPr>
        <w:t>001), lo que confirma el fortalecimiento de la sinergia y la cohesión dentro de la comunidad estudiantil.</w:t>
      </w:r>
    </w:p>
    <w:p w14:paraId="1CD4D866" w14:textId="77777777" w:rsidR="00726E42" w:rsidRDefault="00000000">
      <w:pPr>
        <w:pStyle w:val="NormalWeb"/>
        <w:spacing w:before="120" w:beforeAutospacing="0"/>
        <w:ind w:firstLine="720"/>
        <w:jc w:val="both"/>
        <w:rPr>
          <w:rFonts w:ascii="Calibri" w:hAnsi="Calibri" w:cs="Calibri"/>
          <w:sz w:val="22"/>
          <w:szCs w:val="22"/>
        </w:rPr>
      </w:pPr>
      <w:r>
        <w:rPr>
          <w:rFonts w:ascii="Calibri" w:hAnsi="Calibri" w:cs="Calibri"/>
          <w:sz w:val="22"/>
          <w:szCs w:val="22"/>
        </w:rPr>
        <w:t>Las mejoras también se extendieron a la participación en actividades extracurriculares (t=−14</w:t>
      </w:r>
      <w:r>
        <w:rPr>
          <w:rFonts w:ascii="Calibri" w:hAnsi="Calibri" w:cs="Calibri"/>
          <w:sz w:val="22"/>
          <w:szCs w:val="22"/>
          <w:lang w:val="es-ES"/>
        </w:rPr>
        <w:t>,</w:t>
      </w:r>
      <w:r>
        <w:rPr>
          <w:rFonts w:ascii="Calibri" w:hAnsi="Calibri" w:cs="Calibri"/>
          <w:sz w:val="22"/>
          <w:szCs w:val="22"/>
        </w:rPr>
        <w:t>22, p&lt;</w:t>
      </w:r>
      <w:r>
        <w:rPr>
          <w:rFonts w:ascii="Calibri" w:hAnsi="Calibri" w:cs="Calibri"/>
          <w:sz w:val="22"/>
          <w:szCs w:val="22"/>
          <w:lang w:val="es-ES"/>
        </w:rPr>
        <w:t>,</w:t>
      </w:r>
      <w:r>
        <w:rPr>
          <w:rFonts w:ascii="Calibri" w:hAnsi="Calibri" w:cs="Calibri"/>
          <w:sz w:val="22"/>
          <w:szCs w:val="22"/>
        </w:rPr>
        <w:t>001), la calidad educativa percibida (t=−15</w:t>
      </w:r>
      <w:r>
        <w:rPr>
          <w:rFonts w:ascii="Calibri" w:hAnsi="Calibri" w:cs="Calibri"/>
          <w:sz w:val="22"/>
          <w:szCs w:val="22"/>
          <w:lang w:val="es-ES"/>
        </w:rPr>
        <w:t>,</w:t>
      </w:r>
      <w:r>
        <w:rPr>
          <w:rFonts w:ascii="Calibri" w:hAnsi="Calibri" w:cs="Calibri"/>
          <w:sz w:val="22"/>
          <w:szCs w:val="22"/>
        </w:rPr>
        <w:t>12, p&lt;</w:t>
      </w:r>
      <w:r>
        <w:rPr>
          <w:rFonts w:ascii="Calibri" w:hAnsi="Calibri" w:cs="Calibri"/>
          <w:sz w:val="22"/>
          <w:szCs w:val="22"/>
          <w:lang w:val="es-ES"/>
        </w:rPr>
        <w:t>,</w:t>
      </w:r>
      <w:r>
        <w:rPr>
          <w:rFonts w:ascii="Calibri" w:hAnsi="Calibri" w:cs="Calibri"/>
          <w:sz w:val="22"/>
          <w:szCs w:val="22"/>
        </w:rPr>
        <w:t>001), la disponibilidad de recursos académicos (t=−14</w:t>
      </w:r>
      <w:r>
        <w:rPr>
          <w:rFonts w:ascii="Calibri" w:hAnsi="Calibri" w:cs="Calibri"/>
          <w:sz w:val="22"/>
          <w:szCs w:val="22"/>
          <w:lang w:val="es-ES"/>
        </w:rPr>
        <w:t>,</w:t>
      </w:r>
      <w:r>
        <w:rPr>
          <w:rFonts w:ascii="Calibri" w:hAnsi="Calibri" w:cs="Calibri"/>
          <w:sz w:val="22"/>
          <w:szCs w:val="22"/>
        </w:rPr>
        <w:t>02, p&lt;</w:t>
      </w:r>
      <w:r>
        <w:rPr>
          <w:rFonts w:ascii="Calibri" w:hAnsi="Calibri" w:cs="Calibri"/>
          <w:sz w:val="22"/>
          <w:szCs w:val="22"/>
          <w:lang w:val="es-ES"/>
        </w:rPr>
        <w:t>,</w:t>
      </w:r>
      <w:r>
        <w:rPr>
          <w:rFonts w:ascii="Calibri" w:hAnsi="Calibri" w:cs="Calibri"/>
          <w:sz w:val="22"/>
          <w:szCs w:val="22"/>
        </w:rPr>
        <w:t>001) y la satisfacción general (t=−14</w:t>
      </w:r>
      <w:r>
        <w:rPr>
          <w:rFonts w:ascii="Calibri" w:hAnsi="Calibri" w:cs="Calibri"/>
          <w:sz w:val="22"/>
          <w:szCs w:val="22"/>
          <w:lang w:val="es-ES"/>
        </w:rPr>
        <w:t>,</w:t>
      </w:r>
      <w:r>
        <w:rPr>
          <w:rFonts w:ascii="Calibri" w:hAnsi="Calibri" w:cs="Calibri"/>
          <w:sz w:val="22"/>
          <w:szCs w:val="22"/>
        </w:rPr>
        <w:t>71, p&lt;</w:t>
      </w:r>
      <w:r>
        <w:rPr>
          <w:rFonts w:ascii="Calibri" w:hAnsi="Calibri" w:cs="Calibri"/>
          <w:sz w:val="22"/>
          <w:szCs w:val="22"/>
          <w:lang w:val="es-ES"/>
        </w:rPr>
        <w:t>,</w:t>
      </w:r>
      <w:r>
        <w:rPr>
          <w:rFonts w:ascii="Calibri" w:hAnsi="Calibri" w:cs="Calibri"/>
          <w:sz w:val="22"/>
          <w:szCs w:val="22"/>
        </w:rPr>
        <w:t>001). En todos los casos, los valores de p (probabilidad) fueron inferiores a 0,001, lo que corrobora la solidez de los hallazgos.</w:t>
      </w:r>
    </w:p>
    <w:p w14:paraId="2C7E93C7" w14:textId="77777777" w:rsidR="00726E42" w:rsidRDefault="00000000">
      <w:pPr>
        <w:pStyle w:val="Ttulo2"/>
        <w:spacing w:beforeLines="100" w:afterLines="50"/>
        <w:jc w:val="both"/>
        <w:rPr>
          <w:rFonts w:cstheme="minorHAnsi"/>
          <w:b w:val="0"/>
          <w:bCs w:val="0"/>
          <w:i/>
          <w:iCs/>
          <w:sz w:val="22"/>
          <w:szCs w:val="22"/>
          <w:lang w:val="es-PE" w:eastAsia="es-VE"/>
        </w:rPr>
      </w:pPr>
      <w:r>
        <w:rPr>
          <w:rFonts w:cstheme="minorHAnsi"/>
          <w:i/>
          <w:iCs/>
          <w:sz w:val="22"/>
          <w:szCs w:val="22"/>
          <w:lang w:val="es-PE" w:eastAsia="es-VE"/>
        </w:rPr>
        <w:t>Tabla 3</w:t>
      </w:r>
      <w:r>
        <w:rPr>
          <w:rFonts w:cstheme="minorHAnsi"/>
          <w:i/>
          <w:iCs/>
          <w:sz w:val="22"/>
          <w:szCs w:val="22"/>
          <w:lang w:eastAsia="es-VE"/>
        </w:rPr>
        <w:t>.</w:t>
      </w:r>
      <w:r>
        <w:rPr>
          <w:rFonts w:cstheme="minorHAnsi"/>
          <w:b w:val="0"/>
          <w:bCs w:val="0"/>
          <w:i/>
          <w:iCs/>
          <w:sz w:val="22"/>
          <w:szCs w:val="22"/>
          <w:lang w:eastAsia="es-VE"/>
        </w:rPr>
        <w:t xml:space="preserve"> </w:t>
      </w:r>
      <w:r>
        <w:rPr>
          <w:rFonts w:cstheme="minorHAnsi"/>
          <w:b w:val="0"/>
          <w:bCs w:val="0"/>
          <w:i/>
          <w:iCs/>
          <w:sz w:val="22"/>
          <w:szCs w:val="22"/>
          <w:lang w:val="es-PE" w:eastAsia="es-VE"/>
        </w:rPr>
        <w:t>Resultados de la prueba t para muestras relacionadas</w:t>
      </w:r>
    </w:p>
    <w:tbl>
      <w:tblPr>
        <w:tblStyle w:val="Tablanormal31"/>
        <w:tblW w:w="0" w:type="auto"/>
        <w:jc w:val="center"/>
        <w:tblLook w:val="04A0" w:firstRow="1" w:lastRow="0" w:firstColumn="1" w:lastColumn="0" w:noHBand="0" w:noVBand="1"/>
      </w:tblPr>
      <w:tblGrid>
        <w:gridCol w:w="2384"/>
        <w:gridCol w:w="681"/>
        <w:gridCol w:w="862"/>
        <w:gridCol w:w="1864"/>
      </w:tblGrid>
      <w:tr w:rsidR="00726E42" w14:paraId="1704B2E6" w14:textId="77777777" w:rsidTr="00726E4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tcBorders>
              <w:top w:val="single" w:sz="8" w:space="0" w:color="000000"/>
              <w:left w:val="single" w:sz="8" w:space="0" w:color="000000"/>
              <w:bottom w:val="nil"/>
              <w:right w:val="dotted" w:sz="0" w:space="0" w:color="auto"/>
            </w:tcBorders>
            <w:shd w:val="clear" w:color="auto" w:fill="000000"/>
          </w:tcPr>
          <w:p w14:paraId="0EF80127" w14:textId="77777777" w:rsidR="00726E42" w:rsidRDefault="00000000">
            <w:pPr>
              <w:pStyle w:val="Ttulo2"/>
              <w:spacing w:before="0" w:after="0"/>
              <w:jc w:val="center"/>
              <w:rPr>
                <w:rFonts w:cstheme="minorHAnsi"/>
                <w:b/>
                <w:bCs/>
                <w:color w:val="FFFFFF"/>
                <w:sz w:val="18"/>
                <w:szCs w:val="18"/>
                <w:lang w:val="es-PE" w:eastAsia="es-VE"/>
              </w:rPr>
            </w:pPr>
            <w:r>
              <w:rPr>
                <w:rFonts w:cstheme="minorHAnsi"/>
                <w:color w:val="FFFFFF"/>
                <w:sz w:val="18"/>
                <w:szCs w:val="18"/>
                <w:lang w:val="es-PE" w:eastAsia="es-VE"/>
              </w:rPr>
              <w:t>Variable</w:t>
            </w:r>
          </w:p>
        </w:tc>
        <w:tc>
          <w:tcPr>
            <w:tcW w:w="0" w:type="auto"/>
            <w:tcBorders>
              <w:top w:val="single" w:sz="8" w:space="0" w:color="000000"/>
              <w:left w:val="dotted" w:sz="4" w:space="0" w:color="auto"/>
              <w:bottom w:val="nil"/>
              <w:right w:val="dotted" w:sz="4" w:space="0" w:color="auto"/>
            </w:tcBorders>
            <w:shd w:val="clear" w:color="auto" w:fill="000000"/>
          </w:tcPr>
          <w:p w14:paraId="5B50F00F" w14:textId="77777777" w:rsidR="00726E42" w:rsidRDefault="00000000">
            <w:pPr>
              <w:pStyle w:val="Ttulo2"/>
              <w:spacing w:before="0" w:after="0"/>
              <w:jc w:val="center"/>
              <w:cnfStyle w:val="100000000000" w:firstRow="1" w:lastRow="0" w:firstColumn="0" w:lastColumn="0" w:oddVBand="0" w:evenVBand="0" w:oddHBand="0" w:evenHBand="0" w:firstRowFirstColumn="0" w:firstRowLastColumn="0" w:lastRowFirstColumn="0" w:lastRowLastColumn="0"/>
              <w:rPr>
                <w:rFonts w:cstheme="minorHAnsi"/>
                <w:b/>
                <w:bCs/>
                <w:caps w:val="0"/>
                <w:color w:val="FFFFFF"/>
                <w:sz w:val="18"/>
                <w:szCs w:val="18"/>
                <w:lang w:val="es-PE" w:eastAsia="es-VE"/>
              </w:rPr>
            </w:pPr>
            <w:r>
              <w:rPr>
                <w:rFonts w:cstheme="minorHAnsi"/>
                <w:color w:val="FFFFFF"/>
                <w:sz w:val="18"/>
                <w:szCs w:val="18"/>
                <w:lang w:val="es-PE" w:eastAsia="es-VE"/>
              </w:rPr>
              <w:t>t</w:t>
            </w:r>
          </w:p>
        </w:tc>
        <w:tc>
          <w:tcPr>
            <w:tcW w:w="0" w:type="auto"/>
            <w:tcBorders>
              <w:top w:val="single" w:sz="8" w:space="0" w:color="000000"/>
              <w:left w:val="dotted" w:sz="4" w:space="0" w:color="auto"/>
              <w:bottom w:val="nil"/>
              <w:right w:val="dotted" w:sz="4" w:space="0" w:color="auto"/>
            </w:tcBorders>
            <w:shd w:val="clear" w:color="auto" w:fill="000000"/>
          </w:tcPr>
          <w:p w14:paraId="4B1666CF" w14:textId="77777777" w:rsidR="00726E42" w:rsidRDefault="00000000">
            <w:pPr>
              <w:pStyle w:val="Ttulo2"/>
              <w:spacing w:before="0" w:after="0"/>
              <w:jc w:val="center"/>
              <w:cnfStyle w:val="100000000000" w:firstRow="1" w:lastRow="0" w:firstColumn="0" w:lastColumn="0" w:oddVBand="0" w:evenVBand="0" w:oddHBand="0" w:evenHBand="0" w:firstRowFirstColumn="0" w:firstRowLastColumn="0" w:lastRowFirstColumn="0" w:lastRowLastColumn="0"/>
              <w:rPr>
                <w:rFonts w:cstheme="minorHAnsi"/>
                <w:b/>
                <w:bCs/>
                <w:caps w:val="0"/>
                <w:color w:val="FFFFFF"/>
                <w:sz w:val="18"/>
                <w:szCs w:val="18"/>
                <w:lang w:val="es-PE" w:eastAsia="es-VE"/>
              </w:rPr>
            </w:pPr>
            <w:r>
              <w:rPr>
                <w:rFonts w:cstheme="minorHAnsi"/>
                <w:color w:val="FFFFFF"/>
                <w:sz w:val="18"/>
                <w:szCs w:val="18"/>
                <w:lang w:val="es-PE" w:eastAsia="es-VE"/>
              </w:rPr>
              <w:t>p</w:t>
            </w:r>
          </w:p>
        </w:tc>
        <w:tc>
          <w:tcPr>
            <w:tcW w:w="0" w:type="auto"/>
            <w:tcBorders>
              <w:top w:val="single" w:sz="8" w:space="0" w:color="000000"/>
              <w:left w:val="dotted" w:sz="4" w:space="0" w:color="auto"/>
              <w:bottom w:val="nil"/>
              <w:right w:val="single" w:sz="8" w:space="0" w:color="000000"/>
            </w:tcBorders>
            <w:shd w:val="clear" w:color="auto" w:fill="000000"/>
          </w:tcPr>
          <w:p w14:paraId="3572FA9A" w14:textId="77777777" w:rsidR="00726E42" w:rsidRDefault="00000000">
            <w:pPr>
              <w:pStyle w:val="Ttulo2"/>
              <w:spacing w:before="0" w:after="0"/>
              <w:jc w:val="center"/>
              <w:cnfStyle w:val="100000000000" w:firstRow="1" w:lastRow="0" w:firstColumn="0" w:lastColumn="0" w:oddVBand="0" w:evenVBand="0" w:oddHBand="0" w:evenHBand="0" w:firstRowFirstColumn="0" w:firstRowLastColumn="0" w:lastRowFirstColumn="0" w:lastRowLastColumn="0"/>
              <w:rPr>
                <w:rFonts w:cstheme="minorHAnsi"/>
                <w:b/>
                <w:bCs/>
                <w:color w:val="FFFFFF"/>
                <w:sz w:val="18"/>
                <w:szCs w:val="18"/>
                <w:lang w:val="es-PE" w:eastAsia="es-VE"/>
              </w:rPr>
            </w:pPr>
            <w:r>
              <w:rPr>
                <w:rFonts w:cstheme="minorHAnsi"/>
                <w:color w:val="FFFFFF"/>
                <w:sz w:val="18"/>
                <w:szCs w:val="18"/>
                <w:lang w:val="es-PE" w:eastAsia="es-VE"/>
              </w:rPr>
              <w:t>Interpretación</w:t>
            </w:r>
          </w:p>
        </w:tc>
      </w:tr>
      <w:tr w:rsidR="00726E42" w14:paraId="68822A2D" w14:textId="77777777" w:rsidTr="00726E42">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FFFFFF" w:themeFill="background1"/>
          </w:tcPr>
          <w:p w14:paraId="2A4FE9F0" w14:textId="26EFCFC6" w:rsidR="00726E42" w:rsidRDefault="00542664">
            <w:pPr>
              <w:pStyle w:val="Ttulo2"/>
              <w:spacing w:before="0" w:after="0"/>
              <w:jc w:val="both"/>
              <w:rPr>
                <w:rFonts w:cstheme="minorHAnsi"/>
                <w:b/>
                <w:bCs/>
                <w:color w:val="000000"/>
                <w:sz w:val="18"/>
                <w:szCs w:val="18"/>
                <w:lang w:val="es-PE" w:eastAsia="es-VE"/>
              </w:rPr>
            </w:pPr>
            <w:r>
              <w:rPr>
                <w:rFonts w:cstheme="minorHAnsi"/>
                <w:caps w:val="0"/>
                <w:color w:val="000000"/>
                <w:sz w:val="18"/>
                <w:szCs w:val="18"/>
                <w:lang w:val="es-PE" w:eastAsia="es-VE"/>
              </w:rPr>
              <w:t>Competencias Digitales (Tic)</w:t>
            </w:r>
          </w:p>
        </w:tc>
        <w:tc>
          <w:tcPr>
            <w:tcW w:w="0" w:type="auto"/>
            <w:tcBorders>
              <w:top w:val="nil"/>
              <w:left w:val="nil"/>
              <w:bottom w:val="nil"/>
              <w:right w:val="nil"/>
            </w:tcBorders>
            <w:shd w:val="clear" w:color="auto" w:fill="FFFFFF" w:themeFill="background1"/>
          </w:tcPr>
          <w:p w14:paraId="56CE617F" w14:textId="77777777" w:rsidR="00726E42" w:rsidRDefault="00000000">
            <w:pPr>
              <w:pStyle w:val="Ttulo2"/>
              <w:spacing w:before="0" w:after="0"/>
              <w:jc w:val="both"/>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Pr>
                <w:rFonts w:cstheme="minorHAnsi"/>
                <w:b w:val="0"/>
                <w:bCs w:val="0"/>
                <w:color w:val="000000"/>
                <w:sz w:val="18"/>
                <w:szCs w:val="18"/>
                <w:lang w:val="es-PE" w:eastAsia="es-VE"/>
              </w:rPr>
              <w:t>-17,53</w:t>
            </w:r>
          </w:p>
        </w:tc>
        <w:tc>
          <w:tcPr>
            <w:tcW w:w="0" w:type="auto"/>
            <w:tcBorders>
              <w:top w:val="nil"/>
              <w:left w:val="nil"/>
              <w:bottom w:val="nil"/>
              <w:right w:val="nil"/>
            </w:tcBorders>
            <w:shd w:val="clear" w:color="auto" w:fill="FFFFFF" w:themeFill="background1"/>
          </w:tcPr>
          <w:p w14:paraId="467F1FA6" w14:textId="77777777" w:rsidR="00726E42" w:rsidRDefault="00000000">
            <w:pPr>
              <w:pStyle w:val="Ttulo2"/>
              <w:spacing w:before="0" w:after="0"/>
              <w:jc w:val="both"/>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Pr>
                <w:rFonts w:cstheme="minorHAnsi"/>
                <w:b w:val="0"/>
                <w:bCs w:val="0"/>
                <w:color w:val="000000"/>
                <w:sz w:val="18"/>
                <w:szCs w:val="18"/>
                <w:lang w:val="es-PE" w:eastAsia="es-VE"/>
              </w:rPr>
              <w:t>8,01e-48</w:t>
            </w:r>
          </w:p>
        </w:tc>
        <w:tc>
          <w:tcPr>
            <w:tcW w:w="0" w:type="auto"/>
            <w:tcBorders>
              <w:top w:val="nil"/>
              <w:left w:val="nil"/>
              <w:bottom w:val="nil"/>
              <w:right w:val="nil"/>
            </w:tcBorders>
            <w:shd w:val="clear" w:color="auto" w:fill="FFFFFF" w:themeFill="background1"/>
          </w:tcPr>
          <w:p w14:paraId="15EE0D55" w14:textId="77777777" w:rsidR="00726E42" w:rsidRDefault="00000000">
            <w:pPr>
              <w:pStyle w:val="Ttulo2"/>
              <w:spacing w:before="0" w:after="0"/>
              <w:jc w:val="both"/>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Pr>
                <w:rFonts w:cstheme="minorHAnsi"/>
                <w:b w:val="0"/>
                <w:bCs w:val="0"/>
                <w:color w:val="000000"/>
                <w:sz w:val="18"/>
                <w:szCs w:val="18"/>
                <w:lang w:val="es-PE" w:eastAsia="es-VE"/>
              </w:rPr>
              <w:t>Diferencia significativa</w:t>
            </w:r>
          </w:p>
        </w:tc>
      </w:tr>
      <w:tr w:rsidR="00726E42" w14:paraId="0779F23A" w14:textId="77777777" w:rsidTr="00726E42">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FFFFFF" w:themeFill="background1"/>
          </w:tcPr>
          <w:p w14:paraId="6498F84E" w14:textId="56FBC04F" w:rsidR="00726E42" w:rsidRDefault="00542664">
            <w:pPr>
              <w:pStyle w:val="Ttulo2"/>
              <w:spacing w:before="0" w:after="0"/>
              <w:jc w:val="both"/>
              <w:rPr>
                <w:rFonts w:cstheme="minorHAnsi"/>
                <w:b/>
                <w:bCs/>
                <w:color w:val="000000"/>
                <w:sz w:val="18"/>
                <w:szCs w:val="18"/>
                <w:lang w:val="es-PE" w:eastAsia="es-VE"/>
              </w:rPr>
            </w:pPr>
            <w:r>
              <w:rPr>
                <w:rFonts w:cstheme="minorHAnsi"/>
                <w:caps w:val="0"/>
                <w:color w:val="000000"/>
                <w:sz w:val="18"/>
                <w:szCs w:val="18"/>
                <w:lang w:val="es-PE" w:eastAsia="es-VE"/>
              </w:rPr>
              <w:t>Colaboración Y Comunicación</w:t>
            </w:r>
          </w:p>
        </w:tc>
        <w:tc>
          <w:tcPr>
            <w:tcW w:w="0" w:type="auto"/>
            <w:tcBorders>
              <w:top w:val="nil"/>
              <w:left w:val="nil"/>
              <w:bottom w:val="nil"/>
              <w:right w:val="nil"/>
            </w:tcBorders>
            <w:shd w:val="clear" w:color="auto" w:fill="FFFFFF" w:themeFill="background1"/>
          </w:tcPr>
          <w:p w14:paraId="5B7AC11E" w14:textId="77777777" w:rsidR="00726E42" w:rsidRDefault="00000000">
            <w:pPr>
              <w:pStyle w:val="Ttulo2"/>
              <w:spacing w:before="0" w:after="0"/>
              <w:jc w:val="both"/>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Pr>
                <w:rFonts w:cstheme="minorHAnsi"/>
                <w:b w:val="0"/>
                <w:bCs w:val="0"/>
                <w:color w:val="000000"/>
                <w:sz w:val="18"/>
                <w:szCs w:val="18"/>
                <w:lang w:val="es-PE" w:eastAsia="es-VE"/>
              </w:rPr>
              <w:t>-13,25</w:t>
            </w:r>
          </w:p>
        </w:tc>
        <w:tc>
          <w:tcPr>
            <w:tcW w:w="0" w:type="auto"/>
            <w:tcBorders>
              <w:top w:val="nil"/>
              <w:left w:val="nil"/>
              <w:bottom w:val="nil"/>
              <w:right w:val="nil"/>
            </w:tcBorders>
            <w:shd w:val="clear" w:color="auto" w:fill="FFFFFF" w:themeFill="background1"/>
          </w:tcPr>
          <w:p w14:paraId="0F4F949C" w14:textId="77777777" w:rsidR="00726E42" w:rsidRDefault="00000000">
            <w:pPr>
              <w:pStyle w:val="Ttulo2"/>
              <w:spacing w:before="0" w:after="0"/>
              <w:jc w:val="both"/>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Pr>
                <w:rFonts w:cstheme="minorHAnsi"/>
                <w:b w:val="0"/>
                <w:bCs w:val="0"/>
                <w:color w:val="000000"/>
                <w:sz w:val="18"/>
                <w:szCs w:val="18"/>
                <w:lang w:val="es-PE" w:eastAsia="es-VE"/>
              </w:rPr>
              <w:t>7,56e-32</w:t>
            </w:r>
          </w:p>
        </w:tc>
        <w:tc>
          <w:tcPr>
            <w:tcW w:w="0" w:type="auto"/>
            <w:tcBorders>
              <w:top w:val="nil"/>
              <w:left w:val="nil"/>
              <w:bottom w:val="nil"/>
              <w:right w:val="nil"/>
            </w:tcBorders>
            <w:shd w:val="clear" w:color="auto" w:fill="FFFFFF" w:themeFill="background1"/>
          </w:tcPr>
          <w:p w14:paraId="7B04F00C" w14:textId="77777777" w:rsidR="00726E42" w:rsidRDefault="00000000">
            <w:pPr>
              <w:pStyle w:val="Ttulo2"/>
              <w:spacing w:before="0" w:after="0"/>
              <w:jc w:val="both"/>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Pr>
                <w:rFonts w:cstheme="minorHAnsi"/>
                <w:b w:val="0"/>
                <w:bCs w:val="0"/>
                <w:color w:val="000000"/>
                <w:sz w:val="18"/>
                <w:szCs w:val="18"/>
                <w:lang w:val="es-PE" w:eastAsia="es-VE"/>
              </w:rPr>
              <w:t>Diferencia significativa</w:t>
            </w:r>
          </w:p>
        </w:tc>
      </w:tr>
      <w:tr w:rsidR="00726E42" w14:paraId="18254C9A" w14:textId="77777777" w:rsidTr="00726E42">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FFFFFF" w:themeFill="background1"/>
          </w:tcPr>
          <w:p w14:paraId="6C4E43E7" w14:textId="0ABD2FBD" w:rsidR="00726E42" w:rsidRDefault="00542664">
            <w:pPr>
              <w:pStyle w:val="Ttulo2"/>
              <w:spacing w:before="0" w:after="0"/>
              <w:jc w:val="both"/>
              <w:rPr>
                <w:rFonts w:cstheme="minorHAnsi"/>
                <w:b/>
                <w:bCs/>
                <w:color w:val="000000"/>
                <w:sz w:val="18"/>
                <w:szCs w:val="18"/>
                <w:lang w:val="es-PE" w:eastAsia="es-VE"/>
              </w:rPr>
            </w:pPr>
            <w:r>
              <w:rPr>
                <w:rFonts w:cstheme="minorHAnsi"/>
                <w:caps w:val="0"/>
                <w:color w:val="000000"/>
                <w:sz w:val="18"/>
                <w:szCs w:val="18"/>
                <w:lang w:val="es-PE" w:eastAsia="es-VE"/>
              </w:rPr>
              <w:t>Integración Social</w:t>
            </w:r>
          </w:p>
        </w:tc>
        <w:tc>
          <w:tcPr>
            <w:tcW w:w="0" w:type="auto"/>
            <w:tcBorders>
              <w:top w:val="nil"/>
              <w:left w:val="nil"/>
              <w:bottom w:val="nil"/>
              <w:right w:val="nil"/>
            </w:tcBorders>
            <w:shd w:val="clear" w:color="auto" w:fill="FFFFFF" w:themeFill="background1"/>
          </w:tcPr>
          <w:p w14:paraId="118FF4E6" w14:textId="77777777" w:rsidR="00726E42" w:rsidRDefault="00000000">
            <w:pPr>
              <w:pStyle w:val="Ttulo2"/>
              <w:spacing w:before="0" w:after="0"/>
              <w:jc w:val="both"/>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Pr>
                <w:rFonts w:cstheme="minorHAnsi"/>
                <w:b w:val="0"/>
                <w:bCs w:val="0"/>
                <w:color w:val="000000"/>
                <w:sz w:val="18"/>
                <w:szCs w:val="18"/>
                <w:lang w:val="es-PE" w:eastAsia="es-VE"/>
              </w:rPr>
              <w:t>-13,63</w:t>
            </w:r>
          </w:p>
        </w:tc>
        <w:tc>
          <w:tcPr>
            <w:tcW w:w="0" w:type="auto"/>
            <w:tcBorders>
              <w:top w:val="nil"/>
              <w:left w:val="nil"/>
              <w:bottom w:val="nil"/>
              <w:right w:val="nil"/>
            </w:tcBorders>
            <w:shd w:val="clear" w:color="auto" w:fill="FFFFFF" w:themeFill="background1"/>
          </w:tcPr>
          <w:p w14:paraId="5AB2D852" w14:textId="77777777" w:rsidR="00726E42" w:rsidRDefault="00000000">
            <w:pPr>
              <w:pStyle w:val="Ttulo2"/>
              <w:spacing w:before="0" w:after="0"/>
              <w:jc w:val="both"/>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Pr>
                <w:rFonts w:cstheme="minorHAnsi"/>
                <w:b w:val="0"/>
                <w:bCs w:val="0"/>
                <w:color w:val="000000"/>
                <w:sz w:val="18"/>
                <w:szCs w:val="18"/>
                <w:lang w:val="es-PE" w:eastAsia="es-VE"/>
              </w:rPr>
              <w:t>3,04e-33</w:t>
            </w:r>
          </w:p>
        </w:tc>
        <w:tc>
          <w:tcPr>
            <w:tcW w:w="0" w:type="auto"/>
            <w:tcBorders>
              <w:top w:val="nil"/>
              <w:left w:val="nil"/>
              <w:bottom w:val="nil"/>
              <w:right w:val="nil"/>
            </w:tcBorders>
            <w:shd w:val="clear" w:color="auto" w:fill="FFFFFF" w:themeFill="background1"/>
          </w:tcPr>
          <w:p w14:paraId="1A21A78B" w14:textId="77777777" w:rsidR="00726E42" w:rsidRDefault="00000000">
            <w:pPr>
              <w:pStyle w:val="Ttulo2"/>
              <w:spacing w:before="0" w:after="0"/>
              <w:jc w:val="both"/>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Pr>
                <w:rFonts w:cstheme="minorHAnsi"/>
                <w:b w:val="0"/>
                <w:bCs w:val="0"/>
                <w:color w:val="000000"/>
                <w:sz w:val="18"/>
                <w:szCs w:val="18"/>
                <w:lang w:val="es-PE" w:eastAsia="es-VE"/>
              </w:rPr>
              <w:t>Diferencia significativa</w:t>
            </w:r>
          </w:p>
        </w:tc>
      </w:tr>
      <w:tr w:rsidR="00726E42" w14:paraId="201C2358" w14:textId="77777777" w:rsidTr="00726E42">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FFFFFF" w:themeFill="background1"/>
          </w:tcPr>
          <w:p w14:paraId="69F85FE6" w14:textId="399EB675" w:rsidR="00726E42" w:rsidRDefault="00542664">
            <w:pPr>
              <w:pStyle w:val="Ttulo2"/>
              <w:spacing w:before="0" w:after="0"/>
              <w:jc w:val="both"/>
              <w:rPr>
                <w:rFonts w:cstheme="minorHAnsi"/>
                <w:b/>
                <w:bCs/>
                <w:color w:val="000000"/>
                <w:sz w:val="18"/>
                <w:szCs w:val="18"/>
                <w:lang w:val="es-PE" w:eastAsia="es-VE"/>
              </w:rPr>
            </w:pPr>
            <w:r>
              <w:rPr>
                <w:rFonts w:cstheme="minorHAnsi"/>
                <w:caps w:val="0"/>
                <w:color w:val="000000"/>
                <w:sz w:val="18"/>
                <w:szCs w:val="18"/>
                <w:lang w:val="es-PE" w:eastAsia="es-VE"/>
              </w:rPr>
              <w:t>Actividades Extracurriculares</w:t>
            </w:r>
          </w:p>
        </w:tc>
        <w:tc>
          <w:tcPr>
            <w:tcW w:w="0" w:type="auto"/>
            <w:tcBorders>
              <w:top w:val="nil"/>
              <w:left w:val="nil"/>
              <w:bottom w:val="nil"/>
              <w:right w:val="nil"/>
            </w:tcBorders>
            <w:shd w:val="clear" w:color="auto" w:fill="FFFFFF" w:themeFill="background1"/>
          </w:tcPr>
          <w:p w14:paraId="7883DDFB" w14:textId="77777777" w:rsidR="00726E42" w:rsidRDefault="00000000">
            <w:pPr>
              <w:pStyle w:val="Ttulo2"/>
              <w:spacing w:before="0" w:after="0"/>
              <w:jc w:val="both"/>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Pr>
                <w:rFonts w:cstheme="minorHAnsi"/>
                <w:b w:val="0"/>
                <w:bCs w:val="0"/>
                <w:color w:val="000000"/>
                <w:sz w:val="18"/>
                <w:szCs w:val="18"/>
                <w:lang w:val="es-PE" w:eastAsia="es-VE"/>
              </w:rPr>
              <w:t>-14,22</w:t>
            </w:r>
          </w:p>
        </w:tc>
        <w:tc>
          <w:tcPr>
            <w:tcW w:w="0" w:type="auto"/>
            <w:tcBorders>
              <w:top w:val="nil"/>
              <w:left w:val="nil"/>
              <w:bottom w:val="nil"/>
              <w:right w:val="nil"/>
            </w:tcBorders>
            <w:shd w:val="clear" w:color="auto" w:fill="FFFFFF" w:themeFill="background1"/>
          </w:tcPr>
          <w:p w14:paraId="75E7E7CE" w14:textId="77777777" w:rsidR="00726E42" w:rsidRDefault="00000000">
            <w:pPr>
              <w:pStyle w:val="Ttulo2"/>
              <w:spacing w:before="0" w:after="0"/>
              <w:jc w:val="both"/>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Pr>
                <w:rFonts w:cstheme="minorHAnsi"/>
                <w:b w:val="0"/>
                <w:bCs w:val="0"/>
                <w:color w:val="000000"/>
                <w:sz w:val="18"/>
                <w:szCs w:val="18"/>
                <w:lang w:val="es-PE" w:eastAsia="es-VE"/>
              </w:rPr>
              <w:t>2,14e-35</w:t>
            </w:r>
          </w:p>
        </w:tc>
        <w:tc>
          <w:tcPr>
            <w:tcW w:w="0" w:type="auto"/>
            <w:tcBorders>
              <w:top w:val="nil"/>
              <w:left w:val="nil"/>
              <w:bottom w:val="nil"/>
              <w:right w:val="nil"/>
            </w:tcBorders>
            <w:shd w:val="clear" w:color="auto" w:fill="FFFFFF" w:themeFill="background1"/>
          </w:tcPr>
          <w:p w14:paraId="5CB4D354" w14:textId="77777777" w:rsidR="00726E42" w:rsidRDefault="00000000">
            <w:pPr>
              <w:pStyle w:val="Ttulo2"/>
              <w:spacing w:before="0" w:after="0"/>
              <w:jc w:val="both"/>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Pr>
                <w:rFonts w:cstheme="minorHAnsi"/>
                <w:b w:val="0"/>
                <w:bCs w:val="0"/>
                <w:color w:val="000000"/>
                <w:sz w:val="18"/>
                <w:szCs w:val="18"/>
                <w:lang w:val="es-PE" w:eastAsia="es-VE"/>
              </w:rPr>
              <w:t>Diferencia significativa</w:t>
            </w:r>
          </w:p>
        </w:tc>
      </w:tr>
      <w:tr w:rsidR="00726E42" w14:paraId="618EA32C" w14:textId="77777777" w:rsidTr="00726E42">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FFFFFF" w:themeFill="background1"/>
          </w:tcPr>
          <w:p w14:paraId="7284BB09" w14:textId="2CA1B685" w:rsidR="00726E42" w:rsidRDefault="00542664">
            <w:pPr>
              <w:pStyle w:val="Ttulo2"/>
              <w:spacing w:before="0" w:after="0"/>
              <w:jc w:val="both"/>
              <w:rPr>
                <w:rFonts w:cstheme="minorHAnsi"/>
                <w:b/>
                <w:bCs/>
                <w:color w:val="000000"/>
                <w:sz w:val="18"/>
                <w:szCs w:val="18"/>
                <w:lang w:val="es-PE" w:eastAsia="es-VE"/>
              </w:rPr>
            </w:pPr>
            <w:r>
              <w:rPr>
                <w:rFonts w:cstheme="minorHAnsi"/>
                <w:caps w:val="0"/>
                <w:color w:val="000000"/>
                <w:sz w:val="18"/>
                <w:szCs w:val="18"/>
                <w:lang w:val="es-PE" w:eastAsia="es-VE"/>
              </w:rPr>
              <w:t>Calidad Educativa</w:t>
            </w:r>
          </w:p>
        </w:tc>
        <w:tc>
          <w:tcPr>
            <w:tcW w:w="0" w:type="auto"/>
            <w:tcBorders>
              <w:top w:val="nil"/>
              <w:left w:val="nil"/>
              <w:bottom w:val="nil"/>
              <w:right w:val="nil"/>
            </w:tcBorders>
            <w:shd w:val="clear" w:color="auto" w:fill="FFFFFF" w:themeFill="background1"/>
          </w:tcPr>
          <w:p w14:paraId="690840D4" w14:textId="77777777" w:rsidR="00726E42" w:rsidRDefault="00000000">
            <w:pPr>
              <w:pStyle w:val="Ttulo2"/>
              <w:spacing w:before="0" w:after="0"/>
              <w:jc w:val="both"/>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Pr>
                <w:rFonts w:cstheme="minorHAnsi"/>
                <w:b w:val="0"/>
                <w:bCs w:val="0"/>
                <w:color w:val="000000"/>
                <w:sz w:val="18"/>
                <w:szCs w:val="18"/>
                <w:lang w:val="es-PE" w:eastAsia="es-VE"/>
              </w:rPr>
              <w:t>-15,12</w:t>
            </w:r>
          </w:p>
        </w:tc>
        <w:tc>
          <w:tcPr>
            <w:tcW w:w="0" w:type="auto"/>
            <w:tcBorders>
              <w:top w:val="nil"/>
              <w:left w:val="nil"/>
              <w:bottom w:val="nil"/>
              <w:right w:val="nil"/>
            </w:tcBorders>
            <w:shd w:val="clear" w:color="auto" w:fill="FFFFFF" w:themeFill="background1"/>
          </w:tcPr>
          <w:p w14:paraId="7CABE8E4" w14:textId="77777777" w:rsidR="00726E42" w:rsidRDefault="00000000">
            <w:pPr>
              <w:pStyle w:val="Ttulo2"/>
              <w:spacing w:before="0" w:after="0"/>
              <w:jc w:val="both"/>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Pr>
                <w:rFonts w:cstheme="minorHAnsi"/>
                <w:b w:val="0"/>
                <w:bCs w:val="0"/>
                <w:color w:val="000000"/>
                <w:sz w:val="18"/>
                <w:szCs w:val="18"/>
                <w:lang w:val="es-PE" w:eastAsia="es-VE"/>
              </w:rPr>
              <w:t>9,25e-39</w:t>
            </w:r>
          </w:p>
        </w:tc>
        <w:tc>
          <w:tcPr>
            <w:tcW w:w="0" w:type="auto"/>
            <w:tcBorders>
              <w:top w:val="nil"/>
              <w:left w:val="nil"/>
              <w:bottom w:val="nil"/>
              <w:right w:val="nil"/>
            </w:tcBorders>
            <w:shd w:val="clear" w:color="auto" w:fill="FFFFFF" w:themeFill="background1"/>
          </w:tcPr>
          <w:p w14:paraId="6A1277E6" w14:textId="77777777" w:rsidR="00726E42" w:rsidRDefault="00000000">
            <w:pPr>
              <w:pStyle w:val="Ttulo2"/>
              <w:spacing w:before="0" w:after="0"/>
              <w:jc w:val="both"/>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Pr>
                <w:rFonts w:cstheme="minorHAnsi"/>
                <w:b w:val="0"/>
                <w:bCs w:val="0"/>
                <w:color w:val="000000"/>
                <w:sz w:val="18"/>
                <w:szCs w:val="18"/>
                <w:lang w:val="es-PE" w:eastAsia="es-VE"/>
              </w:rPr>
              <w:t>Diferencia significativa</w:t>
            </w:r>
          </w:p>
        </w:tc>
      </w:tr>
      <w:tr w:rsidR="00726E42" w14:paraId="68838E24" w14:textId="77777777" w:rsidTr="00726E42">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FFFFFF" w:themeFill="background1"/>
          </w:tcPr>
          <w:p w14:paraId="3816A90D" w14:textId="0A916EC3" w:rsidR="00726E42" w:rsidRDefault="00542664">
            <w:pPr>
              <w:pStyle w:val="Ttulo2"/>
              <w:spacing w:before="0" w:after="0"/>
              <w:jc w:val="both"/>
              <w:rPr>
                <w:rFonts w:cstheme="minorHAnsi"/>
                <w:b/>
                <w:bCs/>
                <w:color w:val="000000"/>
                <w:sz w:val="18"/>
                <w:szCs w:val="18"/>
                <w:lang w:val="es-PE" w:eastAsia="es-VE"/>
              </w:rPr>
            </w:pPr>
            <w:r>
              <w:rPr>
                <w:rFonts w:cstheme="minorHAnsi"/>
                <w:caps w:val="0"/>
                <w:color w:val="000000"/>
                <w:sz w:val="18"/>
                <w:szCs w:val="18"/>
                <w:lang w:val="es-PE" w:eastAsia="es-VE"/>
              </w:rPr>
              <w:t>Recursos Académicos</w:t>
            </w:r>
          </w:p>
        </w:tc>
        <w:tc>
          <w:tcPr>
            <w:tcW w:w="0" w:type="auto"/>
            <w:tcBorders>
              <w:top w:val="nil"/>
              <w:left w:val="nil"/>
              <w:bottom w:val="nil"/>
              <w:right w:val="nil"/>
            </w:tcBorders>
            <w:shd w:val="clear" w:color="auto" w:fill="FFFFFF" w:themeFill="background1"/>
          </w:tcPr>
          <w:p w14:paraId="586017EF" w14:textId="77777777" w:rsidR="00726E42" w:rsidRDefault="00000000">
            <w:pPr>
              <w:pStyle w:val="Ttulo2"/>
              <w:spacing w:before="0" w:after="0"/>
              <w:jc w:val="both"/>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Pr>
                <w:rFonts w:cstheme="minorHAnsi"/>
                <w:b w:val="0"/>
                <w:bCs w:val="0"/>
                <w:color w:val="000000"/>
                <w:sz w:val="18"/>
                <w:szCs w:val="18"/>
                <w:lang w:val="es-PE" w:eastAsia="es-VE"/>
              </w:rPr>
              <w:t>-14,02</w:t>
            </w:r>
          </w:p>
        </w:tc>
        <w:tc>
          <w:tcPr>
            <w:tcW w:w="0" w:type="auto"/>
            <w:tcBorders>
              <w:top w:val="nil"/>
              <w:left w:val="nil"/>
              <w:bottom w:val="nil"/>
              <w:right w:val="nil"/>
            </w:tcBorders>
            <w:shd w:val="clear" w:color="auto" w:fill="FFFFFF" w:themeFill="background1"/>
          </w:tcPr>
          <w:p w14:paraId="79831F36" w14:textId="77777777" w:rsidR="00726E42" w:rsidRDefault="00000000">
            <w:pPr>
              <w:pStyle w:val="Ttulo2"/>
              <w:spacing w:before="0" w:after="0"/>
              <w:jc w:val="both"/>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Pr>
                <w:rFonts w:cstheme="minorHAnsi"/>
                <w:b w:val="0"/>
                <w:bCs w:val="0"/>
                <w:color w:val="000000"/>
                <w:sz w:val="18"/>
                <w:szCs w:val="18"/>
                <w:lang w:val="es-PE" w:eastAsia="es-VE"/>
              </w:rPr>
              <w:t>1,14e-34</w:t>
            </w:r>
          </w:p>
        </w:tc>
        <w:tc>
          <w:tcPr>
            <w:tcW w:w="0" w:type="auto"/>
            <w:tcBorders>
              <w:top w:val="nil"/>
              <w:left w:val="nil"/>
              <w:bottom w:val="nil"/>
              <w:right w:val="nil"/>
            </w:tcBorders>
            <w:shd w:val="clear" w:color="auto" w:fill="FFFFFF" w:themeFill="background1"/>
          </w:tcPr>
          <w:p w14:paraId="36515055" w14:textId="77777777" w:rsidR="00726E42" w:rsidRDefault="00000000">
            <w:pPr>
              <w:pStyle w:val="Ttulo2"/>
              <w:spacing w:before="0" w:after="0"/>
              <w:jc w:val="both"/>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Pr>
                <w:rFonts w:cstheme="minorHAnsi"/>
                <w:b w:val="0"/>
                <w:bCs w:val="0"/>
                <w:color w:val="000000"/>
                <w:sz w:val="18"/>
                <w:szCs w:val="18"/>
                <w:lang w:val="es-PE" w:eastAsia="es-VE"/>
              </w:rPr>
              <w:t>Diferencia significativa</w:t>
            </w:r>
          </w:p>
        </w:tc>
      </w:tr>
      <w:tr w:rsidR="00726E42" w14:paraId="13B6B40A" w14:textId="77777777" w:rsidTr="00726E42">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auto"/>
              <w:right w:val="nil"/>
            </w:tcBorders>
            <w:shd w:val="clear" w:color="auto" w:fill="FFFFFF" w:themeFill="background1"/>
          </w:tcPr>
          <w:p w14:paraId="19F0DCF0" w14:textId="6D3FE06D" w:rsidR="00726E42" w:rsidRDefault="00542664">
            <w:pPr>
              <w:pStyle w:val="Ttulo2"/>
              <w:spacing w:before="0" w:after="0"/>
              <w:jc w:val="both"/>
              <w:rPr>
                <w:rFonts w:cstheme="minorHAnsi"/>
                <w:b/>
                <w:bCs/>
                <w:color w:val="000000"/>
                <w:sz w:val="18"/>
                <w:szCs w:val="18"/>
                <w:lang w:val="es-PE" w:eastAsia="es-VE"/>
              </w:rPr>
            </w:pPr>
            <w:r>
              <w:rPr>
                <w:rFonts w:cstheme="minorHAnsi"/>
                <w:caps w:val="0"/>
                <w:color w:val="000000"/>
                <w:sz w:val="18"/>
                <w:szCs w:val="18"/>
                <w:lang w:val="es-PE" w:eastAsia="es-VE"/>
              </w:rPr>
              <w:t>Satisfacción General</w:t>
            </w:r>
          </w:p>
        </w:tc>
        <w:tc>
          <w:tcPr>
            <w:tcW w:w="0" w:type="auto"/>
            <w:tcBorders>
              <w:top w:val="nil"/>
              <w:left w:val="nil"/>
              <w:bottom w:val="single" w:sz="4" w:space="0" w:color="auto"/>
              <w:right w:val="nil"/>
            </w:tcBorders>
            <w:shd w:val="clear" w:color="auto" w:fill="FFFFFF" w:themeFill="background1"/>
          </w:tcPr>
          <w:p w14:paraId="48589F34" w14:textId="77777777" w:rsidR="00726E42" w:rsidRDefault="00000000">
            <w:pPr>
              <w:pStyle w:val="Ttulo2"/>
              <w:spacing w:before="0" w:after="0"/>
              <w:jc w:val="both"/>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Pr>
                <w:rFonts w:cstheme="minorHAnsi"/>
                <w:b w:val="0"/>
                <w:bCs w:val="0"/>
                <w:color w:val="000000"/>
                <w:sz w:val="18"/>
                <w:szCs w:val="18"/>
                <w:lang w:val="es-PE" w:eastAsia="es-VE"/>
              </w:rPr>
              <w:t>-14,71</w:t>
            </w:r>
          </w:p>
        </w:tc>
        <w:tc>
          <w:tcPr>
            <w:tcW w:w="0" w:type="auto"/>
            <w:tcBorders>
              <w:top w:val="nil"/>
              <w:left w:val="nil"/>
              <w:bottom w:val="single" w:sz="4" w:space="0" w:color="auto"/>
              <w:right w:val="nil"/>
            </w:tcBorders>
            <w:shd w:val="clear" w:color="auto" w:fill="FFFFFF" w:themeFill="background1"/>
          </w:tcPr>
          <w:p w14:paraId="0AE07AB1" w14:textId="77777777" w:rsidR="00726E42" w:rsidRDefault="00000000">
            <w:pPr>
              <w:pStyle w:val="Ttulo2"/>
              <w:spacing w:before="0" w:after="0"/>
              <w:jc w:val="both"/>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Pr>
                <w:rFonts w:cstheme="minorHAnsi"/>
                <w:b w:val="0"/>
                <w:bCs w:val="0"/>
                <w:color w:val="000000"/>
                <w:sz w:val="18"/>
                <w:szCs w:val="18"/>
                <w:lang w:val="es-PE" w:eastAsia="es-VE"/>
              </w:rPr>
              <w:t>3,04e-37</w:t>
            </w:r>
          </w:p>
        </w:tc>
        <w:tc>
          <w:tcPr>
            <w:tcW w:w="0" w:type="auto"/>
            <w:tcBorders>
              <w:top w:val="nil"/>
              <w:left w:val="nil"/>
              <w:bottom w:val="single" w:sz="4" w:space="0" w:color="auto"/>
              <w:right w:val="nil"/>
            </w:tcBorders>
            <w:shd w:val="clear" w:color="auto" w:fill="FFFFFF" w:themeFill="background1"/>
          </w:tcPr>
          <w:p w14:paraId="60CF81E2" w14:textId="77777777" w:rsidR="00726E42" w:rsidRDefault="00000000">
            <w:pPr>
              <w:pStyle w:val="Ttulo2"/>
              <w:spacing w:before="0" w:after="0"/>
              <w:jc w:val="both"/>
              <w:cnfStyle w:val="000000000000" w:firstRow="0" w:lastRow="0" w:firstColumn="0" w:lastColumn="0" w:oddVBand="0" w:evenVBand="0" w:oddHBand="0" w:evenHBand="0" w:firstRowFirstColumn="0" w:firstRowLastColumn="0" w:lastRowFirstColumn="0" w:lastRowLastColumn="0"/>
              <w:rPr>
                <w:rFonts w:cstheme="minorHAnsi"/>
                <w:b w:val="0"/>
                <w:bCs w:val="0"/>
                <w:color w:val="000000"/>
                <w:sz w:val="18"/>
                <w:szCs w:val="18"/>
                <w:lang w:val="es-PE" w:eastAsia="es-VE"/>
              </w:rPr>
            </w:pPr>
            <w:r>
              <w:rPr>
                <w:rFonts w:cstheme="minorHAnsi"/>
                <w:b w:val="0"/>
                <w:bCs w:val="0"/>
                <w:color w:val="000000"/>
                <w:sz w:val="18"/>
                <w:szCs w:val="18"/>
                <w:lang w:val="es-PE" w:eastAsia="es-VE"/>
              </w:rPr>
              <w:t>Diferencia significativa</w:t>
            </w:r>
          </w:p>
        </w:tc>
      </w:tr>
    </w:tbl>
    <w:p w14:paraId="63259D8D" w14:textId="77777777" w:rsidR="00726E42" w:rsidRDefault="00000000">
      <w:pPr>
        <w:spacing w:beforeLines="100" w:before="240" w:afterLines="50" w:after="120" w:line="240" w:lineRule="auto"/>
        <w:ind w:firstLine="720"/>
        <w:jc w:val="both"/>
        <w:rPr>
          <w:lang w:val="es-PE" w:eastAsia="es-VE"/>
        </w:rPr>
      </w:pPr>
      <w:r>
        <w:rPr>
          <w:lang w:val="es-PE" w:eastAsia="es-VE"/>
        </w:rPr>
        <w:t>Los resultados obtenidos demuestran de manera contundente que la implementación del Sistema de Tutoría Universitaria en la UPLA tuvo un impacto positivo y significativo en diversas dimensiones del desarrollo académico de los estudiantes. Estos hallazgos proporcionan un sustento empírico sólido que valida la hipótesis de la investigación, confirmando que la integración de un entorno de tutoría algorítmica y multicanal mejora el desempeño y la experiencia académica de los estudiantes con matrícula condicionada. Los datos sugieren que este tipo de intervenciones no solo abordan el rendimiento académico, sino que también fortalecen habilidades blandas y la percepción integral de la vida universitaria.</w:t>
      </w:r>
    </w:p>
    <w:p w14:paraId="351A13B9" w14:textId="6BC6B856" w:rsidR="00726E42" w:rsidRDefault="00000000">
      <w:pPr>
        <w:spacing w:beforeLines="100" w:before="240" w:afterLines="50" w:after="120" w:line="240" w:lineRule="auto"/>
        <w:jc w:val="both"/>
        <w:rPr>
          <w:b/>
          <w:bCs/>
          <w:sz w:val="24"/>
          <w:szCs w:val="24"/>
          <w:lang w:val="es-ES"/>
        </w:rPr>
      </w:pPr>
      <w:r>
        <w:rPr>
          <w:b/>
          <w:bCs/>
          <w:sz w:val="24"/>
          <w:szCs w:val="24"/>
          <w:lang w:val="es-ES"/>
        </w:rPr>
        <w:t>Discusi</w:t>
      </w:r>
      <w:r w:rsidR="00087F2C">
        <w:rPr>
          <w:b/>
          <w:bCs/>
          <w:sz w:val="24"/>
          <w:szCs w:val="24"/>
          <w:lang w:val="es-ES"/>
        </w:rPr>
        <w:t>ó</w:t>
      </w:r>
      <w:r>
        <w:rPr>
          <w:b/>
          <w:bCs/>
          <w:sz w:val="24"/>
          <w:szCs w:val="24"/>
          <w:lang w:val="es-ES"/>
        </w:rPr>
        <w:t>n</w:t>
      </w:r>
    </w:p>
    <w:p w14:paraId="543044EE" w14:textId="77777777" w:rsidR="002E57B5" w:rsidRPr="002E57B5" w:rsidRDefault="002E57B5" w:rsidP="002E57B5">
      <w:pPr>
        <w:spacing w:beforeLines="50" w:before="120" w:after="0" w:line="240" w:lineRule="auto"/>
        <w:ind w:firstLine="720"/>
        <w:jc w:val="both"/>
        <w:rPr>
          <w:rFonts w:eastAsia="Times New Roman"/>
          <w:lang w:val="es-PE"/>
        </w:rPr>
      </w:pPr>
      <w:r w:rsidRPr="002E57B5">
        <w:rPr>
          <w:rFonts w:eastAsia="Times New Roman"/>
          <w:lang w:val="es-PE"/>
        </w:rPr>
        <w:t>En un contexto global caracterizado por la constante transformación, la educación superior se enfrenta al imperativo de adaptarse a las nuevas realidades de sus estudiantes. Entre estas, la incorporación de tecnologías emergentes y metodologías pedagógicas innovadoras se revela como una estrategia crucial para optimizar el rendimiento académico y fortalecer la retención estudiantil. Este estudio, desarrollado en la Facultad de Ingeniería de la Universidad Peruana Los Andes, examina la implementación de un sistema de tutoría digital multiplataforma, el cual no solo responde a las necesidades específicas de estudiantes con matrícula condicionada, sino que también configura un modelo prospectivo para la educación del siglo XXI.</w:t>
      </w:r>
    </w:p>
    <w:p w14:paraId="278C3218" w14:textId="77777777" w:rsidR="002E57B5" w:rsidRPr="002E57B5" w:rsidRDefault="002E57B5" w:rsidP="002E57B5">
      <w:pPr>
        <w:spacing w:beforeLines="50" w:before="120" w:after="0" w:line="240" w:lineRule="auto"/>
        <w:ind w:firstLine="720"/>
        <w:jc w:val="both"/>
        <w:rPr>
          <w:rFonts w:eastAsia="Times New Roman"/>
          <w:lang w:val="es-PE"/>
        </w:rPr>
      </w:pPr>
      <w:r w:rsidRPr="002E57B5">
        <w:rPr>
          <w:rFonts w:eastAsia="Times New Roman"/>
          <w:lang w:val="es-PE"/>
        </w:rPr>
        <w:t>La adopción de este sistema ha demostrado ser un agente catalizador de cambio institucional. Los resultados evidencian mejoras significativas en el desempeño académico, en consonancia con los hallazgos de Contreras et al. (2020), Marineo &amp; Shi (2018) y Walsh et al. (2020), quienes destacan el papel de las tecnologías digitales en el seguimiento personalizado y la intervención pedagógica oportuna. La plataforma, al ofrecer espacios asincrónicos de interacción entre estudiantes y tutores, facilita el acceso a recursos, retroalimentación continua y acompañamiento académico sin las limitaciones tradicionales de tiempo y espacio.</w:t>
      </w:r>
    </w:p>
    <w:p w14:paraId="3B4A3F8A" w14:textId="77777777" w:rsidR="002E57B5" w:rsidRPr="002E57B5" w:rsidRDefault="002E57B5" w:rsidP="002E57B5">
      <w:pPr>
        <w:spacing w:beforeLines="50" w:before="120" w:after="0" w:line="240" w:lineRule="auto"/>
        <w:ind w:firstLine="720"/>
        <w:jc w:val="both"/>
        <w:rPr>
          <w:rFonts w:eastAsia="Times New Roman"/>
          <w:lang w:val="es-PE"/>
        </w:rPr>
      </w:pPr>
      <w:r w:rsidRPr="002E57B5">
        <w:rPr>
          <w:rFonts w:eastAsia="Times New Roman"/>
          <w:lang w:val="es-PE"/>
        </w:rPr>
        <w:t xml:space="preserve">Más allá de validar la eficacia de la tutoría digital, el estudio subraya su potencial para el fortalecimiento de las competencias digitales estudiantiles. En la era de la información, la alfabetización digital constituye un componente tan esencial como el dominio disciplinar. El uso de entornos algorítmicos </w:t>
      </w:r>
      <w:r w:rsidRPr="002E57B5">
        <w:rPr>
          <w:rFonts w:eastAsia="Times New Roman"/>
          <w:lang w:val="es-PE"/>
        </w:rPr>
        <w:lastRenderedPageBreak/>
        <w:t xml:space="preserve">de tutoría contribuye a cerrar brechas tecnológicas que suelen correlacionarse con bajo rendimiento académico, posicionando a la tecnología como un mecanismo de equidad. La aplicación de estadística inferencial, en línea con las conclusiones de Serrano-García et al. (2025c) y Roncal </w:t>
      </w:r>
      <w:proofErr w:type="spellStart"/>
      <w:r w:rsidRPr="002E57B5">
        <w:rPr>
          <w:rFonts w:eastAsia="Times New Roman"/>
          <w:lang w:val="es-PE"/>
        </w:rPr>
        <w:t>Teran</w:t>
      </w:r>
      <w:proofErr w:type="spellEnd"/>
      <w:r w:rsidRPr="002E57B5">
        <w:rPr>
          <w:rFonts w:eastAsia="Times New Roman"/>
          <w:lang w:val="es-PE"/>
        </w:rPr>
        <w:t xml:space="preserve"> et al. (2024), confirma que el entorno digital de tutoría incide de manera positiva y significativa en el desarrollo académico integral.</w:t>
      </w:r>
    </w:p>
    <w:p w14:paraId="4C86C32B" w14:textId="7A6796F1" w:rsidR="002E57B5" w:rsidRPr="002E57B5" w:rsidRDefault="002E57B5" w:rsidP="002E57B5">
      <w:pPr>
        <w:spacing w:beforeLines="50" w:before="120" w:after="0" w:line="240" w:lineRule="auto"/>
        <w:ind w:firstLine="720"/>
        <w:jc w:val="both"/>
        <w:rPr>
          <w:rFonts w:eastAsia="Times New Roman"/>
          <w:lang w:val="es-PE"/>
        </w:rPr>
      </w:pPr>
      <w:r w:rsidRPr="002E57B5">
        <w:rPr>
          <w:rFonts w:eastAsia="Times New Roman"/>
          <w:lang w:val="es-PE"/>
        </w:rPr>
        <w:t xml:space="preserve">Asimismo, el sistema ha favorecido la cohesión social y la colaboración entre pares. Al habilitar un entorno virtual para la interacción, resolución de dudas y trabajo colaborativo, se promueve una cultura institucional más inclusiva y participativa. Este hallazgo se articula con las investigaciones de </w:t>
      </w:r>
      <w:proofErr w:type="spellStart"/>
      <w:r w:rsidRPr="002E57B5">
        <w:rPr>
          <w:rFonts w:eastAsia="Times New Roman"/>
          <w:lang w:val="es-PE"/>
        </w:rPr>
        <w:t>Govender</w:t>
      </w:r>
      <w:proofErr w:type="spellEnd"/>
      <w:r w:rsidRPr="002E57B5">
        <w:rPr>
          <w:rFonts w:eastAsia="Times New Roman"/>
          <w:lang w:val="es-PE"/>
        </w:rPr>
        <w:t xml:space="preserve"> (2020) y Schmidt et al. (2023), quienes enfatizan la relevancia de las redes de apoyo formales e informales</w:t>
      </w:r>
      <w:r>
        <w:rPr>
          <w:rFonts w:eastAsia="Times New Roman"/>
          <w:lang w:val="es-PE"/>
        </w:rPr>
        <w:t>,</w:t>
      </w:r>
      <w:r w:rsidRPr="002E57B5">
        <w:rPr>
          <w:rFonts w:eastAsia="Times New Roman"/>
          <w:lang w:val="es-PE"/>
        </w:rPr>
        <w:t xml:space="preserve"> en la prevención del abandono académico. En este sentido, la plataforma trasciende su función instrumental y se convierte en un espacio comunitario que fortalece el vínculo entre estudiantes e institución.</w:t>
      </w:r>
    </w:p>
    <w:p w14:paraId="5DB5A9CC" w14:textId="77777777" w:rsidR="002E57B5" w:rsidRPr="002E57B5" w:rsidRDefault="002E57B5" w:rsidP="002E57B5">
      <w:pPr>
        <w:spacing w:beforeLines="50" w:before="120" w:after="0" w:line="240" w:lineRule="auto"/>
        <w:ind w:firstLine="720"/>
        <w:jc w:val="both"/>
        <w:rPr>
          <w:rFonts w:eastAsia="Times New Roman"/>
          <w:lang w:val="es-PE"/>
        </w:rPr>
      </w:pPr>
      <w:r w:rsidRPr="002E57B5">
        <w:rPr>
          <w:rFonts w:eastAsia="Times New Roman"/>
          <w:lang w:val="es-PE"/>
        </w:rPr>
        <w:t>La mejora en la percepción de la calidad educativa y el incremento en la participación extracurricular constituyen indicadores adicionales del impacto positivo del sistema. Estos elementos reflejan no solo un progreso académico, sino también un fortalecimiento del sentido de pertenencia institucional, considerado por la literatura como un factor protector frente al desinterés y la deserción.</w:t>
      </w:r>
    </w:p>
    <w:p w14:paraId="38111FFB" w14:textId="77777777" w:rsidR="002E57B5" w:rsidRPr="002E57B5" w:rsidRDefault="002E57B5" w:rsidP="002E57B5">
      <w:pPr>
        <w:spacing w:beforeLines="50" w:before="120" w:after="0" w:line="240" w:lineRule="auto"/>
        <w:ind w:firstLine="720"/>
        <w:jc w:val="both"/>
        <w:rPr>
          <w:rFonts w:eastAsia="Times New Roman"/>
          <w:lang w:val="es-PE"/>
        </w:rPr>
      </w:pPr>
      <w:r w:rsidRPr="002E57B5">
        <w:rPr>
          <w:rFonts w:eastAsia="Times New Roman"/>
          <w:lang w:val="es-PE"/>
        </w:rPr>
        <w:t xml:space="preserve">Para garantizar la sostenibilidad del impacto generado, se requiere un compromiso institucional de largo plazo. Como señalan </w:t>
      </w:r>
      <w:proofErr w:type="spellStart"/>
      <w:r w:rsidRPr="002E57B5">
        <w:rPr>
          <w:rFonts w:eastAsia="Times New Roman"/>
          <w:lang w:val="es-PE"/>
        </w:rPr>
        <w:t>Gonzalez</w:t>
      </w:r>
      <w:proofErr w:type="spellEnd"/>
      <w:r w:rsidRPr="002E57B5">
        <w:rPr>
          <w:rFonts w:eastAsia="Times New Roman"/>
          <w:lang w:val="es-PE"/>
        </w:rPr>
        <w:t xml:space="preserve">-Nucamendi et al. (2023) y </w:t>
      </w:r>
      <w:proofErr w:type="spellStart"/>
      <w:r w:rsidRPr="002E57B5">
        <w:rPr>
          <w:rFonts w:eastAsia="Times New Roman"/>
          <w:lang w:val="es-PE"/>
        </w:rPr>
        <w:t>Haron</w:t>
      </w:r>
      <w:proofErr w:type="spellEnd"/>
      <w:r w:rsidRPr="002E57B5">
        <w:rPr>
          <w:rFonts w:eastAsia="Times New Roman"/>
          <w:lang w:val="es-PE"/>
        </w:rPr>
        <w:t xml:space="preserve"> et al. (2025), la integración de tecnologías en la acción tutorial permite decisiones pedagógicas basadas en evidencia. No obstante, este potencial solo se materializa mediante políticas estables de acompañamiento estudiantil y formación docente continua. La implementación tecnológica debe ir acompañada de inversión en capacidades humanas que aseguren su uso efectivo y estratégico.</w:t>
      </w:r>
    </w:p>
    <w:p w14:paraId="414DAD49" w14:textId="79F196BF" w:rsidR="002E57B5" w:rsidRPr="002E57B5" w:rsidRDefault="002E57B5" w:rsidP="002E57B5">
      <w:pPr>
        <w:spacing w:beforeLines="50" w:before="120" w:after="0" w:line="240" w:lineRule="auto"/>
        <w:ind w:firstLine="720"/>
        <w:jc w:val="both"/>
        <w:rPr>
          <w:rFonts w:eastAsia="Times New Roman"/>
          <w:lang w:val="es-PE"/>
        </w:rPr>
      </w:pPr>
      <w:r w:rsidRPr="002E57B5">
        <w:rPr>
          <w:rFonts w:eastAsia="Times New Roman"/>
          <w:lang w:val="es-PE"/>
        </w:rPr>
        <w:t>El estudio también destaca la pertinencia de aplicar metodologías de confiabilidad como el RCM (</w:t>
      </w:r>
      <w:proofErr w:type="spellStart"/>
      <w:r w:rsidRPr="002E57B5">
        <w:rPr>
          <w:rFonts w:eastAsia="Times New Roman"/>
          <w:lang w:val="es-PE"/>
        </w:rPr>
        <w:t>Reliability-Centered</w:t>
      </w:r>
      <w:proofErr w:type="spellEnd"/>
      <w:r w:rsidRPr="002E57B5">
        <w:rPr>
          <w:rFonts w:eastAsia="Times New Roman"/>
          <w:lang w:val="es-PE"/>
        </w:rPr>
        <w:t xml:space="preserve"> </w:t>
      </w:r>
      <w:proofErr w:type="spellStart"/>
      <w:r w:rsidRPr="002E57B5">
        <w:rPr>
          <w:rFonts w:eastAsia="Times New Roman"/>
          <w:lang w:val="es-PE"/>
        </w:rPr>
        <w:t>Maintenance</w:t>
      </w:r>
      <w:proofErr w:type="spellEnd"/>
      <w:r w:rsidRPr="002E57B5">
        <w:rPr>
          <w:rFonts w:eastAsia="Times New Roman"/>
          <w:lang w:val="es-PE"/>
        </w:rPr>
        <w:t xml:space="preserve">) al mantenimiento de sistemas educativos. Tal como lo proponen Castrillón &amp; </w:t>
      </w:r>
      <w:proofErr w:type="gramStart"/>
      <w:r w:rsidRPr="002E57B5">
        <w:rPr>
          <w:rFonts w:eastAsia="Times New Roman"/>
          <w:lang w:val="es-PE"/>
        </w:rPr>
        <w:t>Gallego</w:t>
      </w:r>
      <w:proofErr w:type="gramEnd"/>
      <w:r>
        <w:rPr>
          <w:rFonts w:eastAsia="Times New Roman"/>
          <w:lang w:val="es-PE"/>
        </w:rPr>
        <w:t xml:space="preserve"> </w:t>
      </w:r>
      <w:r w:rsidRPr="002E57B5">
        <w:rPr>
          <w:rFonts w:eastAsia="Times New Roman"/>
          <w:lang w:val="es-PE"/>
        </w:rPr>
        <w:t xml:space="preserve">(2019), Cedeño-Barreto et al. (2023) y </w:t>
      </w:r>
      <w:proofErr w:type="spellStart"/>
      <w:r w:rsidRPr="002E57B5">
        <w:rPr>
          <w:rFonts w:eastAsia="Times New Roman"/>
          <w:lang w:val="es-PE"/>
        </w:rPr>
        <w:t>Ramirez</w:t>
      </w:r>
      <w:proofErr w:type="spellEnd"/>
      <w:r w:rsidRPr="002E57B5">
        <w:rPr>
          <w:rFonts w:eastAsia="Times New Roman"/>
          <w:lang w:val="es-PE"/>
        </w:rPr>
        <w:t xml:space="preserve"> </w:t>
      </w:r>
      <w:proofErr w:type="spellStart"/>
      <w:r w:rsidRPr="002E57B5">
        <w:rPr>
          <w:rFonts w:eastAsia="Times New Roman"/>
          <w:lang w:val="es-PE"/>
        </w:rPr>
        <w:t>Mongui</w:t>
      </w:r>
      <w:proofErr w:type="spellEnd"/>
      <w:r w:rsidRPr="002E57B5">
        <w:rPr>
          <w:rFonts w:eastAsia="Times New Roman"/>
          <w:lang w:val="es-PE"/>
        </w:rPr>
        <w:t xml:space="preserve"> &amp; Dávila Arias (2022), este enfoque</w:t>
      </w:r>
      <w:r>
        <w:rPr>
          <w:rFonts w:eastAsia="Times New Roman"/>
          <w:lang w:val="es-PE"/>
        </w:rPr>
        <w:t xml:space="preserve">, </w:t>
      </w:r>
      <w:r w:rsidRPr="002E57B5">
        <w:rPr>
          <w:rFonts w:eastAsia="Times New Roman"/>
          <w:lang w:val="es-PE"/>
        </w:rPr>
        <w:t>tradicionalmente utilizado en contextos industriales</w:t>
      </w:r>
      <w:r>
        <w:rPr>
          <w:rFonts w:eastAsia="Times New Roman"/>
          <w:lang w:val="es-PE"/>
        </w:rPr>
        <w:t>,</w:t>
      </w:r>
      <w:r w:rsidRPr="002E57B5">
        <w:rPr>
          <w:rFonts w:eastAsia="Times New Roman"/>
          <w:lang w:val="es-PE"/>
        </w:rPr>
        <w:t xml:space="preserve"> puede adaptarse para garantizar la operatividad y actualización constante de plataformas tecnológicas educativas, evitando interrupciones en el proceso de enseñanza-aprendizaje.</w:t>
      </w:r>
    </w:p>
    <w:p w14:paraId="2EDDB629" w14:textId="77777777" w:rsidR="002E57B5" w:rsidRPr="002E57B5" w:rsidRDefault="002E57B5" w:rsidP="002E57B5">
      <w:pPr>
        <w:spacing w:beforeLines="50" w:before="120" w:after="0" w:line="240" w:lineRule="auto"/>
        <w:ind w:firstLine="720"/>
        <w:jc w:val="both"/>
        <w:rPr>
          <w:rFonts w:eastAsia="Times New Roman"/>
          <w:lang w:val="es-PE"/>
        </w:rPr>
      </w:pPr>
      <w:r w:rsidRPr="002E57B5">
        <w:rPr>
          <w:rFonts w:eastAsia="Times New Roman"/>
          <w:lang w:val="es-PE"/>
        </w:rPr>
        <w:t>A pesar de los resultados alentadores, persisten desafíos estructurales: la resistencia al cambio, la necesidad de infraestructura robusta y la inversión sostenida en recursos humanos y tecnológicos. Sin embargo, las ventajas superan ampliamente las dificultades. La inteligencia artificial (IA), como lo plantea Muñoz Andrade (2024), representa el siguiente horizonte evolutivo, al permitir una personalización más profunda y predictiva en los procesos de tutoría.</w:t>
      </w:r>
    </w:p>
    <w:p w14:paraId="06F8F833" w14:textId="77777777" w:rsidR="002E57B5" w:rsidRPr="002E57B5" w:rsidRDefault="002E57B5" w:rsidP="002E57B5">
      <w:pPr>
        <w:spacing w:beforeLines="50" w:before="120" w:after="0" w:line="240" w:lineRule="auto"/>
        <w:ind w:firstLine="720"/>
        <w:jc w:val="both"/>
        <w:rPr>
          <w:rFonts w:eastAsia="Times New Roman"/>
          <w:lang w:val="es-PE"/>
        </w:rPr>
      </w:pPr>
      <w:r w:rsidRPr="002E57B5">
        <w:rPr>
          <w:rFonts w:eastAsia="Times New Roman"/>
          <w:lang w:val="es-PE"/>
        </w:rPr>
        <w:t>El análisis comparativo del rendimiento en química, abordado por Iñiguez-Monroy et al. (2024a, 2024b), sugiere que las brechas académicas tienen raíces en la formación previa. En este sentido, los sistemas de tutoría digital pueden nivelar el terreno, ofreciendo apoyo diferenciado a estudiantes de diversos contextos. La ansiedad matemática, identificada por Ortiz-Padilla et al. (2020) como un obstáculo frecuente en carreras de ingeniería, puede ser mitigada mediante entornos de tutoría que proporcionen explicaciones detalladas y prácticas personalizadas en espacios seguros y de bajo estrés.</w:t>
      </w:r>
    </w:p>
    <w:p w14:paraId="45F434F8" w14:textId="77777777" w:rsidR="002E57B5" w:rsidRPr="002E57B5" w:rsidRDefault="002E57B5" w:rsidP="002E57B5">
      <w:pPr>
        <w:spacing w:beforeLines="50" w:before="120" w:after="0" w:line="240" w:lineRule="auto"/>
        <w:ind w:firstLine="720"/>
        <w:jc w:val="both"/>
        <w:rPr>
          <w:rFonts w:eastAsia="Times New Roman"/>
          <w:lang w:val="es-PE"/>
        </w:rPr>
      </w:pPr>
      <w:r w:rsidRPr="002E57B5">
        <w:rPr>
          <w:rFonts w:eastAsia="Times New Roman"/>
          <w:lang w:val="es-PE"/>
        </w:rPr>
        <w:t xml:space="preserve">La pandemia de SARS-CoV-2 aceleró la transición hacia modalidades virtuales, generando tanto retos como oportunidades. Como señalan </w:t>
      </w:r>
      <w:proofErr w:type="spellStart"/>
      <w:r w:rsidRPr="002E57B5">
        <w:rPr>
          <w:rFonts w:eastAsia="Times New Roman"/>
          <w:lang w:val="es-PE"/>
        </w:rPr>
        <w:t>Carrerra</w:t>
      </w:r>
      <w:proofErr w:type="spellEnd"/>
      <w:r w:rsidRPr="002E57B5">
        <w:rPr>
          <w:rFonts w:eastAsia="Times New Roman"/>
          <w:lang w:val="es-PE"/>
        </w:rPr>
        <w:t xml:space="preserve"> Garofalo et al. (2024) y Toapanta </w:t>
      </w:r>
      <w:proofErr w:type="spellStart"/>
      <w:r w:rsidRPr="002E57B5">
        <w:rPr>
          <w:rFonts w:eastAsia="Times New Roman"/>
          <w:lang w:val="es-PE"/>
        </w:rPr>
        <w:t>Pullutasig</w:t>
      </w:r>
      <w:proofErr w:type="spellEnd"/>
      <w:r w:rsidRPr="002E57B5">
        <w:rPr>
          <w:rFonts w:eastAsia="Times New Roman"/>
          <w:lang w:val="es-PE"/>
        </w:rPr>
        <w:t xml:space="preserve"> et al. (2024), la satisfacción con la enseñanza virtual varía, pero estudios como el presente demuestran que, con herramientas adecuadas y acompañamiento pertinente, la educación a distancia puede alcanzar —e incluso superar— los estándares de la presencialidad. La realidad virtual (RV), explorada por Cruz Sangurima et al. (2024), amplía este horizonte al ofrecer experiencias educativas más inmersivas y atractivas, complementando los sistemas de tutoría existentes.</w:t>
      </w:r>
    </w:p>
    <w:p w14:paraId="795E3F48" w14:textId="626FCCD3" w:rsidR="002E57B5" w:rsidRDefault="002E57B5" w:rsidP="002E57B5">
      <w:pPr>
        <w:spacing w:beforeLines="50" w:before="120" w:after="0" w:line="240" w:lineRule="auto"/>
        <w:ind w:firstLine="720"/>
        <w:jc w:val="both"/>
        <w:rPr>
          <w:rFonts w:eastAsia="Times New Roman"/>
          <w:lang w:val="es-PE"/>
        </w:rPr>
      </w:pPr>
      <w:r>
        <w:rPr>
          <w:rFonts w:eastAsia="Times New Roman"/>
          <w:lang w:val="es-PE"/>
        </w:rPr>
        <w:lastRenderedPageBreak/>
        <w:t>El</w:t>
      </w:r>
      <w:r w:rsidRPr="002E57B5">
        <w:rPr>
          <w:rFonts w:eastAsia="Times New Roman"/>
          <w:lang w:val="es-PE"/>
        </w:rPr>
        <w:t xml:space="preserve"> éxito de la educación superior debe medirse no solo por indicadores académicos, sino también por el nivel de </w:t>
      </w:r>
      <w:proofErr w:type="spellStart"/>
      <w:r w:rsidRPr="002E57B5">
        <w:rPr>
          <w:rFonts w:eastAsia="Times New Roman"/>
          <w:lang w:val="es-PE"/>
        </w:rPr>
        <w:t>engagement</w:t>
      </w:r>
      <w:proofErr w:type="spellEnd"/>
      <w:r w:rsidRPr="002E57B5">
        <w:rPr>
          <w:rFonts w:eastAsia="Times New Roman"/>
          <w:lang w:val="es-PE"/>
        </w:rPr>
        <w:t xml:space="preserve"> estudiantil y la percepción del valor formativo. Como lo evidencian Soria-Barreto et al. (2024) y Serna Loaiza et al. (2024), estos factores son determinantes del éxito institucional. El sistema de tutoría analizado contribuye directamente a estos resultados, validando el enfoque holístico adoptado por la Facultad de Ingeniería. La educación, entendida como experiencia transformadora, encuentra en la tecnología un aliado estratégico para potenciar su alcance, profundidad y equidad.</w:t>
      </w:r>
    </w:p>
    <w:p w14:paraId="0FCA1744" w14:textId="47C2059D" w:rsidR="00726E42" w:rsidRDefault="00000000" w:rsidP="002E57B5">
      <w:pPr>
        <w:spacing w:beforeLines="100" w:before="240" w:afterLines="50" w:after="120" w:line="240" w:lineRule="auto"/>
        <w:jc w:val="both"/>
        <w:rPr>
          <w:b/>
          <w:bCs/>
          <w:sz w:val="24"/>
          <w:szCs w:val="24"/>
          <w:lang w:val="es-PE"/>
        </w:rPr>
      </w:pPr>
      <w:r>
        <w:rPr>
          <w:b/>
          <w:bCs/>
          <w:sz w:val="24"/>
          <w:szCs w:val="24"/>
          <w:lang w:val="es-PE"/>
        </w:rPr>
        <w:t>Consideraciones Finales</w:t>
      </w:r>
    </w:p>
    <w:p w14:paraId="56EB4E17" w14:textId="77777777" w:rsidR="00726E42" w:rsidRDefault="00000000">
      <w:pPr>
        <w:spacing w:beforeLines="50" w:before="120" w:after="0" w:line="240" w:lineRule="auto"/>
        <w:ind w:firstLine="720"/>
        <w:jc w:val="both"/>
        <w:rPr>
          <w:rFonts w:eastAsia="Times New Roman"/>
          <w:lang w:val="es-PE"/>
        </w:rPr>
      </w:pPr>
      <w:r>
        <w:rPr>
          <w:rFonts w:eastAsia="Times New Roman"/>
          <w:lang w:val="es-PE"/>
        </w:rPr>
        <w:t>La presente investigación demuestra que la tutoría universitaria, cuando se articula mediante un sistema multiplataforma, puede convertirse en un eje transformador de la experiencia educativa, especialmente en contextos con altos índices de bajo rendimiento académico y deserción. La evidencia empírica recolectada confirma que una estrategia tutorial multicanal no solo mejora el desempeño académico, sino que incide positivamente en aspectos socioemocionales, institucionales y tecnológicos del proceso formativo.</w:t>
      </w:r>
    </w:p>
    <w:p w14:paraId="1C1F9FA6" w14:textId="77777777" w:rsidR="00726E42" w:rsidRDefault="00000000">
      <w:pPr>
        <w:spacing w:beforeLines="50" w:before="120" w:after="0" w:line="240" w:lineRule="auto"/>
        <w:ind w:firstLine="720"/>
        <w:jc w:val="both"/>
        <w:rPr>
          <w:rFonts w:eastAsia="Times New Roman"/>
          <w:lang w:val="es-PE"/>
        </w:rPr>
      </w:pPr>
      <w:r>
        <w:rPr>
          <w:rFonts w:eastAsia="Times New Roman"/>
          <w:lang w:val="es-PE"/>
        </w:rPr>
        <w:t>Entre los logros más destacados se encuentran el aumento de las competencias TIC, la mejora de la cohesión e integración estudiantil, y una mayor percepción de calidad en la enseñanza. Estos resultados sugieren que la implementación de sistemas tutoriales digitales no debe concebirse como una medida transitoria, sino como un componente estructural de los planes de estudio y de la gestión académica universitaria.</w:t>
      </w:r>
    </w:p>
    <w:p w14:paraId="043C6E3D" w14:textId="77777777" w:rsidR="00726E42" w:rsidRDefault="00000000">
      <w:pPr>
        <w:spacing w:beforeLines="50" w:before="120" w:after="0" w:line="240" w:lineRule="auto"/>
        <w:ind w:firstLine="720"/>
        <w:jc w:val="both"/>
        <w:rPr>
          <w:rFonts w:eastAsia="Times New Roman"/>
          <w:lang w:val="es-PE"/>
        </w:rPr>
      </w:pPr>
      <w:r>
        <w:rPr>
          <w:rFonts w:eastAsia="Times New Roman"/>
          <w:lang w:val="es-PE"/>
        </w:rPr>
        <w:t>Se recomienda a las autoridades universitarias institucionalizar este tipo de sistemas mediante normativas específicas, inversiones sostenidas en infraestructura digital y programas de formación docente en tutoría y tecnología educativa. Asimismo, futuras investigaciones podrían ampliar la muestra, comparar con grupos de control y evaluar el impacto longitudinal del sistema implementado.</w:t>
      </w:r>
    </w:p>
    <w:p w14:paraId="1D5DBFDA" w14:textId="77777777" w:rsidR="00726E42" w:rsidRDefault="00000000">
      <w:pPr>
        <w:pStyle w:val="Ttulo2"/>
        <w:spacing w:beforeLines="100" w:afterLines="50"/>
      </w:pPr>
      <w:r>
        <w:t>Agradecimientos</w:t>
      </w:r>
    </w:p>
    <w:p w14:paraId="3095CFAF" w14:textId="77777777" w:rsidR="00726E42" w:rsidRDefault="00000000">
      <w:pPr>
        <w:spacing w:after="0" w:line="240" w:lineRule="auto"/>
        <w:ind w:left="720"/>
        <w:jc w:val="both"/>
        <w:rPr>
          <w:lang w:val="es-PE"/>
        </w:rPr>
      </w:pPr>
      <w:r>
        <w:rPr>
          <w:lang w:val="es-PE"/>
        </w:rPr>
        <w:t>A los integrantes participantes en esta investigación.</w:t>
      </w:r>
    </w:p>
    <w:p w14:paraId="7E4D3CF8" w14:textId="77777777" w:rsidR="00726E42" w:rsidRDefault="00726E42">
      <w:pPr>
        <w:pStyle w:val="Ttulo2"/>
        <w:spacing w:before="0" w:after="0"/>
      </w:pPr>
    </w:p>
    <w:p w14:paraId="7428F279" w14:textId="77777777" w:rsidR="00726E42" w:rsidRDefault="00000000">
      <w:pPr>
        <w:pStyle w:val="Ttulo2"/>
        <w:spacing w:before="0" w:afterLines="50"/>
      </w:pPr>
      <w:r>
        <w:t>Conflicto de intereses</w:t>
      </w:r>
    </w:p>
    <w:p w14:paraId="61EAF9E0" w14:textId="77777777" w:rsidR="00726E42" w:rsidRDefault="00000000">
      <w:pPr>
        <w:tabs>
          <w:tab w:val="left" w:pos="4545"/>
        </w:tabs>
        <w:spacing w:after="0" w:line="240" w:lineRule="auto"/>
        <w:ind w:firstLine="720"/>
        <w:jc w:val="both"/>
        <w:rPr>
          <w:lang w:val="es-PE"/>
        </w:rPr>
      </w:pPr>
      <w:r>
        <w:rPr>
          <w:lang w:val="es-PE"/>
        </w:rPr>
        <w:t>No se reporta conflicto de intereses.</w:t>
      </w:r>
    </w:p>
    <w:p w14:paraId="0E80F233" w14:textId="77777777" w:rsidR="00726E42" w:rsidRDefault="00000000">
      <w:pPr>
        <w:pStyle w:val="Ttulo2"/>
        <w:spacing w:beforeLines="50" w:before="120" w:after="0"/>
      </w:pPr>
      <w:r>
        <w:rPr>
          <w:lang w:val="es-PE"/>
        </w:rPr>
        <w:t>Referencias</w:t>
      </w:r>
    </w:p>
    <w:p w14:paraId="03D8509E" w14:textId="77777777" w:rsidR="00726E42" w:rsidRDefault="00000000">
      <w:pPr>
        <w:pStyle w:val="NormalWeb"/>
        <w:pBdr>
          <w:top w:val="none" w:sz="0" w:space="0" w:color="1B1C1D"/>
          <w:left w:val="none" w:sz="0" w:space="0" w:color="1B1C1D"/>
          <w:bottom w:val="none" w:sz="0" w:space="0" w:color="1B1C1D"/>
          <w:right w:val="none" w:sz="0" w:space="0" w:color="1B1C1D"/>
        </w:pBdr>
        <w:spacing w:beforeLines="50" w:before="120" w:beforeAutospacing="0" w:after="0" w:afterAutospacing="0" w:line="12" w:lineRule="atLeast"/>
        <w:ind w:left="720" w:hanging="720"/>
        <w:jc w:val="both"/>
        <w:rPr>
          <w:rFonts w:ascii="Calibri" w:eastAsia="sans-serif" w:hAnsi="Calibri" w:cs="Calibri"/>
          <w:color w:val="1B1C1D"/>
          <w:sz w:val="22"/>
          <w:szCs w:val="22"/>
        </w:rPr>
      </w:pPr>
      <w:proofErr w:type="spellStart"/>
      <w:r>
        <w:rPr>
          <w:rFonts w:ascii="Calibri" w:eastAsia="sans-serif" w:hAnsi="Calibri" w:cs="Calibri"/>
          <w:color w:val="1B1C1D"/>
          <w:sz w:val="22"/>
          <w:szCs w:val="22"/>
        </w:rPr>
        <w:t>Carrerra</w:t>
      </w:r>
      <w:proofErr w:type="spellEnd"/>
      <w:r>
        <w:rPr>
          <w:rFonts w:ascii="Calibri" w:eastAsia="sans-serif" w:hAnsi="Calibri" w:cs="Calibri"/>
          <w:color w:val="1B1C1D"/>
          <w:sz w:val="22"/>
          <w:szCs w:val="22"/>
        </w:rPr>
        <w:t xml:space="preserve"> Garofalo, V. H., Bonilla Armijo, L. G., Carrera Garofalo, M. R., Lata Herrera, S. F., &amp; Ruiz Barragán, L. M. (2024). Educación virtual e interculturalidad: Un reto en </w:t>
      </w:r>
      <w:proofErr w:type="spellStart"/>
      <w:r>
        <w:rPr>
          <w:rFonts w:ascii="Calibri" w:eastAsia="sans-serif" w:hAnsi="Calibri" w:cs="Calibri"/>
          <w:color w:val="1B1C1D"/>
          <w:sz w:val="22"/>
          <w:szCs w:val="22"/>
        </w:rPr>
        <w:t>Surupucyu</w:t>
      </w:r>
      <w:proofErr w:type="spellEnd"/>
      <w:r>
        <w:rPr>
          <w:rFonts w:ascii="Calibri" w:eastAsia="sans-serif" w:hAnsi="Calibri" w:cs="Calibri"/>
          <w:color w:val="1B1C1D"/>
          <w:sz w:val="22"/>
          <w:szCs w:val="22"/>
        </w:rPr>
        <w:t xml:space="preserve"> durante la pandemia. </w:t>
      </w:r>
      <w:r>
        <w:rPr>
          <w:rFonts w:ascii="Calibri" w:eastAsia="sans-serif" w:hAnsi="Calibri" w:cs="Calibri"/>
          <w:i/>
          <w:iCs/>
          <w:color w:val="1B1C1D"/>
          <w:sz w:val="22"/>
          <w:szCs w:val="22"/>
        </w:rPr>
        <w:t>LATAM Revista Latinoamericana de Ciencias Sociales y Humanidades</w:t>
      </w:r>
      <w:r>
        <w:rPr>
          <w:rFonts w:ascii="Calibri" w:eastAsia="sans-serif" w:hAnsi="Calibri" w:cs="Calibri"/>
          <w:color w:val="1B1C1D"/>
          <w:sz w:val="22"/>
          <w:szCs w:val="22"/>
        </w:rPr>
        <w:t xml:space="preserve">, </w:t>
      </w:r>
      <w:r>
        <w:rPr>
          <w:rFonts w:ascii="Calibri" w:eastAsia="sans-serif" w:hAnsi="Calibri" w:cs="Calibri"/>
          <w:i/>
          <w:iCs/>
          <w:color w:val="1B1C1D"/>
          <w:sz w:val="22"/>
          <w:szCs w:val="22"/>
        </w:rPr>
        <w:t>5</w:t>
      </w:r>
      <w:r>
        <w:rPr>
          <w:rFonts w:ascii="Calibri" w:eastAsia="sans-serif" w:hAnsi="Calibri" w:cs="Calibri"/>
          <w:color w:val="1B1C1D"/>
          <w:sz w:val="22"/>
          <w:szCs w:val="22"/>
        </w:rPr>
        <w:t xml:space="preserve">(1). </w:t>
      </w:r>
      <w:hyperlink r:id="rId23" w:tgtFrame="https://gemini.google.com/app/_blank" w:history="1">
        <w:r>
          <w:rPr>
            <w:rStyle w:val="Hipervnculo"/>
            <w:rFonts w:ascii="Calibri" w:eastAsia="sans-serif" w:hAnsi="Calibri" w:cs="Calibri"/>
            <w:color w:val="0B57D0"/>
            <w:sz w:val="22"/>
            <w:szCs w:val="22"/>
          </w:rPr>
          <w:t>https://doi.org/10.56712/latam.v5i1.1595</w:t>
        </w:r>
      </w:hyperlink>
    </w:p>
    <w:p w14:paraId="1C9978D2" w14:textId="77777777" w:rsidR="00726E42" w:rsidRDefault="00000000">
      <w:pPr>
        <w:pStyle w:val="NormalWeb"/>
        <w:pBdr>
          <w:top w:val="none" w:sz="0" w:space="0" w:color="1B1C1D"/>
          <w:left w:val="none" w:sz="0" w:space="0" w:color="1B1C1D"/>
          <w:bottom w:val="none" w:sz="0" w:space="0" w:color="1B1C1D"/>
          <w:right w:val="none" w:sz="0" w:space="0" w:color="1B1C1D"/>
        </w:pBdr>
        <w:spacing w:beforeLines="50" w:before="120" w:beforeAutospacing="0" w:after="0" w:afterAutospacing="0" w:line="12" w:lineRule="atLeast"/>
        <w:ind w:left="720" w:hanging="720"/>
        <w:jc w:val="both"/>
        <w:rPr>
          <w:rFonts w:ascii="Calibri" w:eastAsia="sans-serif" w:hAnsi="Calibri" w:cs="Calibri"/>
          <w:color w:val="1B1C1D"/>
          <w:sz w:val="22"/>
          <w:szCs w:val="22"/>
        </w:rPr>
      </w:pPr>
      <w:r>
        <w:rPr>
          <w:rFonts w:ascii="Calibri" w:eastAsia="sans-serif" w:hAnsi="Calibri" w:cs="Calibri"/>
          <w:color w:val="1B1C1D"/>
          <w:sz w:val="22"/>
          <w:szCs w:val="22"/>
        </w:rPr>
        <w:t xml:space="preserve">Castrillón, D., &amp; </w:t>
      </w:r>
      <w:proofErr w:type="gramStart"/>
      <w:r>
        <w:rPr>
          <w:rFonts w:ascii="Calibri" w:eastAsia="sans-serif" w:hAnsi="Calibri" w:cs="Calibri"/>
          <w:color w:val="1B1C1D"/>
          <w:sz w:val="22"/>
          <w:szCs w:val="22"/>
        </w:rPr>
        <w:t>Gallego</w:t>
      </w:r>
      <w:proofErr w:type="gramEnd"/>
      <w:r>
        <w:rPr>
          <w:rFonts w:ascii="Calibri" w:eastAsia="sans-serif" w:hAnsi="Calibri" w:cs="Calibri"/>
          <w:color w:val="1B1C1D"/>
          <w:sz w:val="22"/>
          <w:szCs w:val="22"/>
        </w:rPr>
        <w:t xml:space="preserve">, R. (2019). Diseño del Plan de Mantenimiento Preventivo Basado en la Filosofía RCM (Mantenimiento Centrado en la Confiabilidad) para los Equipos de la Empresa de Confecciones </w:t>
      </w:r>
      <w:proofErr w:type="spellStart"/>
      <w:r>
        <w:rPr>
          <w:rFonts w:ascii="Calibri" w:eastAsia="sans-serif" w:hAnsi="Calibri" w:cs="Calibri"/>
          <w:color w:val="1B1C1D"/>
          <w:sz w:val="22"/>
          <w:szCs w:val="22"/>
        </w:rPr>
        <w:t>Jonley</w:t>
      </w:r>
      <w:proofErr w:type="spellEnd"/>
      <w:r>
        <w:rPr>
          <w:rFonts w:ascii="Calibri" w:eastAsia="sans-serif" w:hAnsi="Calibri" w:cs="Calibri"/>
          <w:color w:val="1B1C1D"/>
          <w:sz w:val="22"/>
          <w:szCs w:val="22"/>
        </w:rPr>
        <w:t xml:space="preserve"> S.A.S. </w:t>
      </w:r>
      <w:r>
        <w:rPr>
          <w:rFonts w:ascii="Calibri" w:eastAsia="sans-serif" w:hAnsi="Calibri" w:cs="Calibri"/>
          <w:i/>
          <w:iCs/>
          <w:color w:val="1B1C1D"/>
          <w:sz w:val="22"/>
          <w:szCs w:val="22"/>
        </w:rPr>
        <w:t xml:space="preserve">Duke </w:t>
      </w:r>
      <w:proofErr w:type="spellStart"/>
      <w:r>
        <w:rPr>
          <w:rFonts w:ascii="Calibri" w:eastAsia="sans-serif" w:hAnsi="Calibri" w:cs="Calibri"/>
          <w:i/>
          <w:iCs/>
          <w:color w:val="1B1C1D"/>
          <w:sz w:val="22"/>
          <w:szCs w:val="22"/>
        </w:rPr>
        <w:t>Law</w:t>
      </w:r>
      <w:proofErr w:type="spellEnd"/>
      <w:r>
        <w:rPr>
          <w:rFonts w:ascii="Calibri" w:eastAsia="sans-serif" w:hAnsi="Calibri" w:cs="Calibri"/>
          <w:i/>
          <w:iCs/>
          <w:color w:val="1B1C1D"/>
          <w:sz w:val="22"/>
          <w:szCs w:val="22"/>
        </w:rPr>
        <w:t xml:space="preserve"> </w:t>
      </w:r>
      <w:proofErr w:type="spellStart"/>
      <w:r>
        <w:rPr>
          <w:rFonts w:ascii="Calibri" w:eastAsia="sans-serif" w:hAnsi="Calibri" w:cs="Calibri"/>
          <w:i/>
          <w:iCs/>
          <w:color w:val="1B1C1D"/>
          <w:sz w:val="22"/>
          <w:szCs w:val="22"/>
        </w:rPr>
        <w:t>Journal</w:t>
      </w:r>
      <w:proofErr w:type="spellEnd"/>
      <w:r>
        <w:rPr>
          <w:rFonts w:ascii="Calibri" w:eastAsia="sans-serif" w:hAnsi="Calibri" w:cs="Calibri"/>
          <w:color w:val="1B1C1D"/>
          <w:sz w:val="22"/>
          <w:szCs w:val="22"/>
        </w:rPr>
        <w:t xml:space="preserve">, </w:t>
      </w:r>
      <w:r>
        <w:rPr>
          <w:rFonts w:ascii="Calibri" w:eastAsia="sans-serif" w:hAnsi="Calibri" w:cs="Calibri"/>
          <w:i/>
          <w:iCs/>
          <w:color w:val="1B1C1D"/>
          <w:sz w:val="22"/>
          <w:szCs w:val="22"/>
        </w:rPr>
        <w:t>1</w:t>
      </w:r>
      <w:r>
        <w:rPr>
          <w:rFonts w:ascii="Calibri" w:eastAsia="sans-serif" w:hAnsi="Calibri" w:cs="Calibri"/>
          <w:color w:val="1B1C1D"/>
          <w:sz w:val="22"/>
          <w:szCs w:val="22"/>
        </w:rPr>
        <w:t>(1).</w:t>
      </w:r>
    </w:p>
    <w:p w14:paraId="46BCC557" w14:textId="77777777" w:rsidR="00726E42" w:rsidRDefault="00000000">
      <w:pPr>
        <w:pStyle w:val="NormalWeb"/>
        <w:pBdr>
          <w:top w:val="none" w:sz="0" w:space="0" w:color="1B1C1D"/>
          <w:left w:val="none" w:sz="0" w:space="0" w:color="1B1C1D"/>
          <w:bottom w:val="none" w:sz="0" w:space="0" w:color="1B1C1D"/>
          <w:right w:val="none" w:sz="0" w:space="0" w:color="1B1C1D"/>
        </w:pBdr>
        <w:spacing w:beforeLines="50" w:before="120" w:beforeAutospacing="0" w:after="0" w:afterAutospacing="0" w:line="12" w:lineRule="atLeast"/>
        <w:ind w:left="720" w:hanging="720"/>
        <w:jc w:val="both"/>
        <w:rPr>
          <w:rFonts w:ascii="Calibri" w:eastAsia="sans-serif" w:hAnsi="Calibri" w:cs="Calibri"/>
          <w:color w:val="1B1C1D"/>
          <w:sz w:val="22"/>
          <w:szCs w:val="22"/>
        </w:rPr>
      </w:pPr>
      <w:r>
        <w:rPr>
          <w:rFonts w:ascii="Calibri" w:eastAsia="sans-serif" w:hAnsi="Calibri" w:cs="Calibri"/>
          <w:color w:val="1B1C1D"/>
          <w:sz w:val="22"/>
          <w:szCs w:val="22"/>
        </w:rPr>
        <w:t>Cedeño-Barreto, D., Arteaga-</w:t>
      </w:r>
      <w:proofErr w:type="spellStart"/>
      <w:r>
        <w:rPr>
          <w:rFonts w:ascii="Calibri" w:eastAsia="sans-serif" w:hAnsi="Calibri" w:cs="Calibri"/>
          <w:color w:val="1B1C1D"/>
          <w:sz w:val="22"/>
          <w:szCs w:val="22"/>
        </w:rPr>
        <w:t>Linzan</w:t>
      </w:r>
      <w:proofErr w:type="spellEnd"/>
      <w:r>
        <w:rPr>
          <w:rFonts w:ascii="Calibri" w:eastAsia="sans-serif" w:hAnsi="Calibri" w:cs="Calibri"/>
          <w:color w:val="1B1C1D"/>
          <w:sz w:val="22"/>
          <w:szCs w:val="22"/>
        </w:rPr>
        <w:t xml:space="preserve">, Á. R., &amp; Rodríguez-Ramos, P. A. (2023). Aplicación de metodología RCM para mejora del plan de mantenimiento de calderas en empacadora de atún. </w:t>
      </w:r>
      <w:proofErr w:type="spellStart"/>
      <w:r>
        <w:rPr>
          <w:rFonts w:ascii="Calibri" w:eastAsia="sans-serif" w:hAnsi="Calibri" w:cs="Calibri"/>
          <w:i/>
          <w:iCs/>
          <w:color w:val="1B1C1D"/>
          <w:sz w:val="22"/>
          <w:szCs w:val="22"/>
        </w:rPr>
        <w:t>MQRInvestigar</w:t>
      </w:r>
      <w:proofErr w:type="spellEnd"/>
      <w:r>
        <w:rPr>
          <w:rFonts w:ascii="Calibri" w:eastAsia="sans-serif" w:hAnsi="Calibri" w:cs="Calibri"/>
          <w:color w:val="1B1C1D"/>
          <w:sz w:val="22"/>
          <w:szCs w:val="22"/>
        </w:rPr>
        <w:t xml:space="preserve">, </w:t>
      </w:r>
      <w:r>
        <w:rPr>
          <w:rFonts w:ascii="Calibri" w:eastAsia="sans-serif" w:hAnsi="Calibri" w:cs="Calibri"/>
          <w:i/>
          <w:iCs/>
          <w:color w:val="1B1C1D"/>
          <w:sz w:val="22"/>
          <w:szCs w:val="22"/>
        </w:rPr>
        <w:t>7</w:t>
      </w:r>
      <w:r>
        <w:rPr>
          <w:rFonts w:ascii="Calibri" w:eastAsia="sans-serif" w:hAnsi="Calibri" w:cs="Calibri"/>
          <w:color w:val="1B1C1D"/>
          <w:sz w:val="22"/>
          <w:szCs w:val="22"/>
        </w:rPr>
        <w:t xml:space="preserve">(4), 3003–3014. </w:t>
      </w:r>
      <w:hyperlink r:id="rId24" w:tgtFrame="https://gemini.google.com/app/_blank" w:history="1">
        <w:r>
          <w:rPr>
            <w:rStyle w:val="Hipervnculo"/>
            <w:rFonts w:ascii="Calibri" w:eastAsia="sans-serif" w:hAnsi="Calibri" w:cs="Calibri"/>
            <w:color w:val="0B57D0"/>
            <w:sz w:val="22"/>
            <w:szCs w:val="22"/>
          </w:rPr>
          <w:t>https://doi.org/10.56048/mqr20225.7.4.2023.3003-3014</w:t>
        </w:r>
      </w:hyperlink>
    </w:p>
    <w:p w14:paraId="52EB6529" w14:textId="77777777" w:rsidR="00726E42" w:rsidRDefault="00000000">
      <w:pPr>
        <w:pStyle w:val="NormalWeb"/>
        <w:pBdr>
          <w:top w:val="none" w:sz="0" w:space="0" w:color="1B1C1D"/>
          <w:left w:val="none" w:sz="0" w:space="0" w:color="1B1C1D"/>
          <w:bottom w:val="none" w:sz="0" w:space="0" w:color="1B1C1D"/>
          <w:right w:val="none" w:sz="0" w:space="0" w:color="1B1C1D"/>
        </w:pBdr>
        <w:spacing w:beforeLines="50" w:before="120" w:beforeAutospacing="0" w:after="0" w:afterAutospacing="0" w:line="12" w:lineRule="atLeast"/>
        <w:ind w:left="720" w:hanging="720"/>
        <w:jc w:val="both"/>
        <w:rPr>
          <w:rFonts w:ascii="Calibri" w:eastAsia="sans-serif" w:hAnsi="Calibri" w:cs="Calibri"/>
          <w:color w:val="1B1C1D"/>
          <w:sz w:val="22"/>
          <w:szCs w:val="22"/>
        </w:rPr>
      </w:pPr>
      <w:r>
        <w:rPr>
          <w:rFonts w:ascii="Calibri" w:eastAsia="sans-serif" w:hAnsi="Calibri" w:cs="Calibri"/>
          <w:color w:val="1B1C1D"/>
          <w:sz w:val="22"/>
          <w:szCs w:val="22"/>
        </w:rPr>
        <w:t xml:space="preserve">Coronel, E., &amp; Segura, E. (2018). Metodología para la inspección de equipo médico. </w:t>
      </w:r>
      <w:r>
        <w:rPr>
          <w:rFonts w:ascii="Calibri" w:eastAsia="sans-serif" w:hAnsi="Calibri" w:cs="Calibri"/>
          <w:i/>
          <w:iCs/>
          <w:color w:val="1B1C1D"/>
          <w:sz w:val="22"/>
          <w:szCs w:val="22"/>
        </w:rPr>
        <w:t>Memorias Del Congreso Nacional de Ingeniería Biomédica</w:t>
      </w:r>
      <w:r>
        <w:rPr>
          <w:rFonts w:ascii="Calibri" w:eastAsia="sans-serif" w:hAnsi="Calibri" w:cs="Calibri"/>
          <w:color w:val="1B1C1D"/>
          <w:sz w:val="22"/>
          <w:szCs w:val="22"/>
        </w:rPr>
        <w:t xml:space="preserve">, </w:t>
      </w:r>
      <w:r>
        <w:rPr>
          <w:rFonts w:ascii="Calibri" w:eastAsia="sans-serif" w:hAnsi="Calibri" w:cs="Calibri"/>
          <w:i/>
          <w:iCs/>
          <w:color w:val="1B1C1D"/>
          <w:sz w:val="22"/>
          <w:szCs w:val="22"/>
        </w:rPr>
        <w:t>5</w:t>
      </w:r>
      <w:r>
        <w:rPr>
          <w:rFonts w:ascii="Calibri" w:eastAsia="sans-serif" w:hAnsi="Calibri" w:cs="Calibri"/>
          <w:color w:val="1B1C1D"/>
          <w:sz w:val="22"/>
          <w:szCs w:val="22"/>
        </w:rPr>
        <w:t>(1).</w:t>
      </w:r>
    </w:p>
    <w:p w14:paraId="2B94A578" w14:textId="77777777" w:rsidR="00726E42" w:rsidRDefault="00000000">
      <w:pPr>
        <w:pStyle w:val="NormalWeb"/>
        <w:pBdr>
          <w:top w:val="none" w:sz="0" w:space="0" w:color="1B1C1D"/>
          <w:left w:val="none" w:sz="0" w:space="0" w:color="1B1C1D"/>
          <w:bottom w:val="none" w:sz="0" w:space="0" w:color="1B1C1D"/>
          <w:right w:val="none" w:sz="0" w:space="0" w:color="1B1C1D"/>
        </w:pBdr>
        <w:spacing w:beforeLines="50" w:before="120" w:beforeAutospacing="0" w:after="0" w:afterAutospacing="0" w:line="12" w:lineRule="atLeast"/>
        <w:ind w:left="720" w:hanging="720"/>
        <w:jc w:val="both"/>
        <w:rPr>
          <w:rFonts w:ascii="Calibri" w:eastAsia="sans-serif" w:hAnsi="Calibri" w:cs="Calibri"/>
          <w:color w:val="1B1C1D"/>
          <w:sz w:val="22"/>
          <w:szCs w:val="22"/>
        </w:rPr>
      </w:pPr>
      <w:r>
        <w:rPr>
          <w:rFonts w:ascii="Calibri" w:eastAsia="sans-serif" w:hAnsi="Calibri" w:cs="Calibri"/>
          <w:color w:val="1B1C1D"/>
          <w:sz w:val="22"/>
          <w:szCs w:val="22"/>
        </w:rPr>
        <w:t xml:space="preserve">Cruz Sangurima, S. E., Matías </w:t>
      </w:r>
      <w:proofErr w:type="spellStart"/>
      <w:r>
        <w:rPr>
          <w:rFonts w:ascii="Calibri" w:eastAsia="sans-serif" w:hAnsi="Calibri" w:cs="Calibri"/>
          <w:color w:val="1B1C1D"/>
          <w:sz w:val="22"/>
          <w:szCs w:val="22"/>
        </w:rPr>
        <w:t>Olabe</w:t>
      </w:r>
      <w:proofErr w:type="spellEnd"/>
      <w:r>
        <w:rPr>
          <w:rFonts w:ascii="Calibri" w:eastAsia="sans-serif" w:hAnsi="Calibri" w:cs="Calibri"/>
          <w:color w:val="1B1C1D"/>
          <w:sz w:val="22"/>
          <w:szCs w:val="22"/>
        </w:rPr>
        <w:t xml:space="preserve">, J. C., Mena Sisalima, Y. J., Cobos Ramírez, J. A., &amp; Choez Villafuerte, T. P. (2024). Optimizando el Proceso de Enseñanza-Aprendizaje en Ciencias Sociales mediante la </w:t>
      </w:r>
      <w:r>
        <w:rPr>
          <w:rFonts w:ascii="Calibri" w:eastAsia="sans-serif" w:hAnsi="Calibri" w:cs="Calibri"/>
          <w:color w:val="1B1C1D"/>
          <w:sz w:val="22"/>
          <w:szCs w:val="22"/>
        </w:rPr>
        <w:lastRenderedPageBreak/>
        <w:t xml:space="preserve">Realidad Virtual 360. </w:t>
      </w:r>
      <w:r>
        <w:rPr>
          <w:rFonts w:ascii="Calibri" w:eastAsia="sans-serif" w:hAnsi="Calibri" w:cs="Calibri"/>
          <w:i/>
          <w:iCs/>
          <w:color w:val="1B1C1D"/>
          <w:sz w:val="22"/>
          <w:szCs w:val="22"/>
        </w:rPr>
        <w:t>Ciencia Latina Revista Científica Multidisciplinar</w:t>
      </w:r>
      <w:r>
        <w:rPr>
          <w:rFonts w:ascii="Calibri" w:eastAsia="sans-serif" w:hAnsi="Calibri" w:cs="Calibri"/>
          <w:color w:val="1B1C1D"/>
          <w:sz w:val="22"/>
          <w:szCs w:val="22"/>
        </w:rPr>
        <w:t xml:space="preserve">, </w:t>
      </w:r>
      <w:r>
        <w:rPr>
          <w:rFonts w:ascii="Calibri" w:eastAsia="sans-serif" w:hAnsi="Calibri" w:cs="Calibri"/>
          <w:i/>
          <w:iCs/>
          <w:color w:val="1B1C1D"/>
          <w:sz w:val="22"/>
          <w:szCs w:val="22"/>
        </w:rPr>
        <w:t>8</w:t>
      </w:r>
      <w:r>
        <w:rPr>
          <w:rFonts w:ascii="Calibri" w:eastAsia="sans-serif" w:hAnsi="Calibri" w:cs="Calibri"/>
          <w:color w:val="1B1C1D"/>
          <w:sz w:val="22"/>
          <w:szCs w:val="22"/>
        </w:rPr>
        <w:t xml:space="preserve">(1). </w:t>
      </w:r>
      <w:hyperlink r:id="rId25" w:tgtFrame="https://gemini.google.com/app/_blank" w:history="1">
        <w:r>
          <w:rPr>
            <w:rStyle w:val="Hipervnculo"/>
            <w:rFonts w:ascii="Calibri" w:eastAsia="sans-serif" w:hAnsi="Calibri" w:cs="Calibri"/>
            <w:color w:val="0B57D0"/>
            <w:sz w:val="22"/>
            <w:szCs w:val="22"/>
          </w:rPr>
          <w:t>https://doi.org/10.37811/cl_rcm.v8i1.9929</w:t>
        </w:r>
      </w:hyperlink>
    </w:p>
    <w:p w14:paraId="009CC2B1" w14:textId="77777777" w:rsidR="00726E42" w:rsidRDefault="00000000">
      <w:pPr>
        <w:pStyle w:val="NormalWeb"/>
        <w:pBdr>
          <w:top w:val="none" w:sz="0" w:space="0" w:color="1B1C1D"/>
          <w:left w:val="none" w:sz="0" w:space="0" w:color="1B1C1D"/>
          <w:bottom w:val="none" w:sz="0" w:space="0" w:color="1B1C1D"/>
          <w:right w:val="none" w:sz="0" w:space="0" w:color="1B1C1D"/>
        </w:pBdr>
        <w:spacing w:beforeLines="50" w:before="120" w:beforeAutospacing="0" w:after="0" w:afterAutospacing="0" w:line="12" w:lineRule="atLeast"/>
        <w:ind w:left="720" w:hanging="720"/>
        <w:jc w:val="both"/>
        <w:rPr>
          <w:rFonts w:ascii="Calibri" w:eastAsia="sans-serif" w:hAnsi="Calibri" w:cs="Calibri"/>
          <w:color w:val="1B1C1D"/>
          <w:sz w:val="22"/>
          <w:szCs w:val="22"/>
        </w:rPr>
      </w:pPr>
      <w:proofErr w:type="spellStart"/>
      <w:r>
        <w:rPr>
          <w:rFonts w:ascii="Calibri" w:eastAsia="sans-serif" w:hAnsi="Calibri" w:cs="Calibri"/>
          <w:color w:val="1B1C1D"/>
          <w:sz w:val="22"/>
          <w:szCs w:val="22"/>
        </w:rPr>
        <w:t>Giuria</w:t>
      </w:r>
      <w:proofErr w:type="spellEnd"/>
      <w:r>
        <w:rPr>
          <w:rFonts w:ascii="Calibri" w:eastAsia="sans-serif" w:hAnsi="Calibri" w:cs="Calibri"/>
          <w:color w:val="1B1C1D"/>
          <w:sz w:val="22"/>
          <w:szCs w:val="22"/>
        </w:rPr>
        <w:t xml:space="preserve">-Farías, A., Noriega-Revoredo, C., &amp; Altamirano-Flores, E. (2022). </w:t>
      </w:r>
      <w:proofErr w:type="spellStart"/>
      <w:r>
        <w:rPr>
          <w:rFonts w:ascii="Calibri" w:eastAsia="sans-serif" w:hAnsi="Calibri" w:cs="Calibri"/>
          <w:color w:val="1B1C1D"/>
          <w:sz w:val="22"/>
          <w:szCs w:val="22"/>
        </w:rPr>
        <w:t>Education</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research</w:t>
      </w:r>
      <w:proofErr w:type="spellEnd"/>
      <w:r>
        <w:rPr>
          <w:rFonts w:ascii="Calibri" w:eastAsia="sans-serif" w:hAnsi="Calibri" w:cs="Calibri"/>
          <w:color w:val="1B1C1D"/>
          <w:sz w:val="22"/>
          <w:szCs w:val="22"/>
        </w:rPr>
        <w:t xml:space="preserve"> and </w:t>
      </w:r>
      <w:proofErr w:type="spellStart"/>
      <w:r>
        <w:rPr>
          <w:rFonts w:ascii="Calibri" w:eastAsia="sans-serif" w:hAnsi="Calibri" w:cs="Calibri"/>
          <w:color w:val="1B1C1D"/>
          <w:sz w:val="22"/>
          <w:szCs w:val="22"/>
        </w:rPr>
        <w:t>leadership</w:t>
      </w:r>
      <w:proofErr w:type="spellEnd"/>
      <w:r>
        <w:rPr>
          <w:rFonts w:ascii="Calibri" w:eastAsia="sans-serif" w:hAnsi="Calibri" w:cs="Calibri"/>
          <w:color w:val="1B1C1D"/>
          <w:sz w:val="22"/>
          <w:szCs w:val="22"/>
        </w:rPr>
        <w:t xml:space="preserve"> in </w:t>
      </w:r>
      <w:proofErr w:type="spellStart"/>
      <w:r>
        <w:rPr>
          <w:rFonts w:ascii="Calibri" w:eastAsia="sans-serif" w:hAnsi="Calibri" w:cs="Calibri"/>
          <w:color w:val="1B1C1D"/>
          <w:sz w:val="22"/>
          <w:szCs w:val="22"/>
        </w:rPr>
        <w:t>post-pandemic</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engineering</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Resilient</w:t>
      </w:r>
      <w:proofErr w:type="spellEnd"/>
      <w:r>
        <w:rPr>
          <w:rFonts w:ascii="Calibri" w:eastAsia="sans-serif" w:hAnsi="Calibri" w:cs="Calibri"/>
          <w:color w:val="1B1C1D"/>
          <w:sz w:val="22"/>
          <w:szCs w:val="22"/>
        </w:rPr>
        <w:t xml:space="preserve">, inclusive and </w:t>
      </w:r>
      <w:proofErr w:type="spellStart"/>
      <w:r>
        <w:rPr>
          <w:rFonts w:ascii="Calibri" w:eastAsia="sans-serif" w:hAnsi="Calibri" w:cs="Calibri"/>
          <w:color w:val="1B1C1D"/>
          <w:sz w:val="22"/>
          <w:szCs w:val="22"/>
        </w:rPr>
        <w:t>sustainable</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actions</w:t>
      </w:r>
      <w:proofErr w:type="spellEnd"/>
      <w:r>
        <w:rPr>
          <w:rFonts w:ascii="Calibri" w:eastAsia="sans-serif" w:hAnsi="Calibri" w:cs="Calibri"/>
          <w:color w:val="1B1C1D"/>
          <w:sz w:val="22"/>
          <w:szCs w:val="22"/>
        </w:rPr>
        <w:t xml:space="preserve">. </w:t>
      </w:r>
      <w:r>
        <w:rPr>
          <w:rFonts w:ascii="Calibri" w:eastAsia="sans-serif" w:hAnsi="Calibri" w:cs="Calibri"/>
          <w:i/>
          <w:iCs/>
          <w:color w:val="1B1C1D"/>
          <w:sz w:val="22"/>
          <w:szCs w:val="22"/>
        </w:rPr>
        <w:t>20th LACCEI International Multi-</w:t>
      </w:r>
      <w:proofErr w:type="spellStart"/>
      <w:r>
        <w:rPr>
          <w:rFonts w:ascii="Calibri" w:eastAsia="sans-serif" w:hAnsi="Calibri" w:cs="Calibri"/>
          <w:i/>
          <w:iCs/>
          <w:color w:val="1B1C1D"/>
          <w:sz w:val="22"/>
          <w:szCs w:val="22"/>
        </w:rPr>
        <w:t>Conference</w:t>
      </w:r>
      <w:proofErr w:type="spellEnd"/>
      <w:r>
        <w:rPr>
          <w:rFonts w:ascii="Calibri" w:eastAsia="sans-serif" w:hAnsi="Calibri" w:cs="Calibri"/>
          <w:i/>
          <w:iCs/>
          <w:color w:val="1B1C1D"/>
          <w:sz w:val="22"/>
          <w:szCs w:val="22"/>
        </w:rPr>
        <w:t xml:space="preserve"> </w:t>
      </w:r>
      <w:proofErr w:type="spellStart"/>
      <w:r>
        <w:rPr>
          <w:rFonts w:ascii="Calibri" w:eastAsia="sans-serif" w:hAnsi="Calibri" w:cs="Calibri"/>
          <w:i/>
          <w:iCs/>
          <w:color w:val="1B1C1D"/>
          <w:sz w:val="22"/>
          <w:szCs w:val="22"/>
        </w:rPr>
        <w:t>For</w:t>
      </w:r>
      <w:proofErr w:type="spellEnd"/>
      <w:r>
        <w:rPr>
          <w:rFonts w:ascii="Calibri" w:eastAsia="sans-serif" w:hAnsi="Calibri" w:cs="Calibri"/>
          <w:i/>
          <w:iCs/>
          <w:color w:val="1B1C1D"/>
          <w:sz w:val="22"/>
          <w:szCs w:val="22"/>
        </w:rPr>
        <w:t xml:space="preserve"> </w:t>
      </w:r>
      <w:proofErr w:type="spellStart"/>
      <w:r>
        <w:rPr>
          <w:rFonts w:ascii="Calibri" w:eastAsia="sans-serif" w:hAnsi="Calibri" w:cs="Calibri"/>
          <w:i/>
          <w:iCs/>
          <w:color w:val="1B1C1D"/>
          <w:sz w:val="22"/>
          <w:szCs w:val="22"/>
        </w:rPr>
        <w:t>Engineering</w:t>
      </w:r>
      <w:proofErr w:type="spellEnd"/>
      <w:r>
        <w:rPr>
          <w:rFonts w:ascii="Calibri" w:eastAsia="sans-serif" w:hAnsi="Calibri" w:cs="Calibri"/>
          <w:i/>
          <w:iCs/>
          <w:color w:val="1B1C1D"/>
          <w:sz w:val="22"/>
          <w:szCs w:val="22"/>
        </w:rPr>
        <w:t xml:space="preserve">, </w:t>
      </w:r>
      <w:proofErr w:type="spellStart"/>
      <w:r>
        <w:rPr>
          <w:rFonts w:ascii="Calibri" w:eastAsia="sans-serif" w:hAnsi="Calibri" w:cs="Calibri"/>
          <w:i/>
          <w:iCs/>
          <w:color w:val="1B1C1D"/>
          <w:sz w:val="22"/>
          <w:szCs w:val="22"/>
        </w:rPr>
        <w:t>Education</w:t>
      </w:r>
      <w:proofErr w:type="spellEnd"/>
      <w:r>
        <w:rPr>
          <w:rFonts w:ascii="Calibri" w:eastAsia="sans-serif" w:hAnsi="Calibri" w:cs="Calibri"/>
          <w:i/>
          <w:iCs/>
          <w:color w:val="1B1C1D"/>
          <w:sz w:val="22"/>
          <w:szCs w:val="22"/>
        </w:rPr>
        <w:t xml:space="preserve">, And </w:t>
      </w:r>
      <w:proofErr w:type="spellStart"/>
      <w:r>
        <w:rPr>
          <w:rFonts w:ascii="Calibri" w:eastAsia="sans-serif" w:hAnsi="Calibri" w:cs="Calibri"/>
          <w:i/>
          <w:iCs/>
          <w:color w:val="1B1C1D"/>
          <w:sz w:val="22"/>
          <w:szCs w:val="22"/>
        </w:rPr>
        <w:t>Technology</w:t>
      </w:r>
      <w:proofErr w:type="spellEnd"/>
      <w:r>
        <w:rPr>
          <w:rFonts w:ascii="Calibri" w:eastAsia="sans-serif" w:hAnsi="Calibri" w:cs="Calibri"/>
          <w:color w:val="1B1C1D"/>
          <w:sz w:val="22"/>
          <w:szCs w:val="22"/>
        </w:rPr>
        <w:t>.</w:t>
      </w:r>
    </w:p>
    <w:p w14:paraId="18E5A877" w14:textId="77777777" w:rsidR="00726E42" w:rsidRDefault="00000000">
      <w:pPr>
        <w:pStyle w:val="NormalWeb"/>
        <w:pBdr>
          <w:top w:val="none" w:sz="0" w:space="0" w:color="1B1C1D"/>
          <w:left w:val="none" w:sz="0" w:space="0" w:color="1B1C1D"/>
          <w:bottom w:val="none" w:sz="0" w:space="0" w:color="1B1C1D"/>
          <w:right w:val="none" w:sz="0" w:space="0" w:color="1B1C1D"/>
        </w:pBdr>
        <w:spacing w:beforeLines="50" w:before="120" w:beforeAutospacing="0" w:after="0" w:afterAutospacing="0" w:line="12" w:lineRule="atLeast"/>
        <w:ind w:left="720" w:hanging="720"/>
        <w:jc w:val="both"/>
        <w:rPr>
          <w:rFonts w:ascii="Calibri" w:eastAsia="sans-serif" w:hAnsi="Calibri" w:cs="Calibri"/>
          <w:color w:val="1B1C1D"/>
          <w:sz w:val="22"/>
          <w:szCs w:val="22"/>
        </w:rPr>
      </w:pPr>
      <w:r>
        <w:rPr>
          <w:rFonts w:ascii="Calibri" w:eastAsia="sans-serif" w:hAnsi="Calibri" w:cs="Calibri"/>
          <w:color w:val="1B1C1D"/>
          <w:sz w:val="22"/>
          <w:szCs w:val="22"/>
        </w:rPr>
        <w:t xml:space="preserve">Herrera-Núñez, Y. A., &amp; González-Campos, J. A. (2019). </w:t>
      </w:r>
      <w:proofErr w:type="spellStart"/>
      <w:r>
        <w:rPr>
          <w:rFonts w:ascii="Calibri" w:eastAsia="sans-serif" w:hAnsi="Calibri" w:cs="Calibri"/>
          <w:color w:val="1B1C1D"/>
          <w:sz w:val="22"/>
          <w:szCs w:val="22"/>
        </w:rPr>
        <w:t>Dependency</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networks</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between</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learning</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strategies</w:t>
      </w:r>
      <w:proofErr w:type="spellEnd"/>
      <w:r>
        <w:rPr>
          <w:rFonts w:ascii="Calibri" w:eastAsia="sans-serif" w:hAnsi="Calibri" w:cs="Calibri"/>
          <w:color w:val="1B1C1D"/>
          <w:sz w:val="22"/>
          <w:szCs w:val="22"/>
        </w:rPr>
        <w:t xml:space="preserve"> and </w:t>
      </w:r>
      <w:proofErr w:type="spellStart"/>
      <w:r>
        <w:rPr>
          <w:rFonts w:ascii="Calibri" w:eastAsia="sans-serif" w:hAnsi="Calibri" w:cs="Calibri"/>
          <w:color w:val="1B1C1D"/>
          <w:sz w:val="22"/>
          <w:szCs w:val="22"/>
        </w:rPr>
        <w:t>profiles</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of</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students</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of</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medium</w:t>
      </w:r>
      <w:proofErr w:type="spellEnd"/>
      <w:r>
        <w:rPr>
          <w:rFonts w:ascii="Calibri" w:eastAsia="sans-serif" w:hAnsi="Calibri" w:cs="Calibri"/>
          <w:color w:val="1B1C1D"/>
          <w:sz w:val="22"/>
          <w:szCs w:val="22"/>
        </w:rPr>
        <w:t xml:space="preserve"> and </w:t>
      </w:r>
      <w:proofErr w:type="spellStart"/>
      <w:r>
        <w:rPr>
          <w:rFonts w:ascii="Calibri" w:eastAsia="sans-serif" w:hAnsi="Calibri" w:cs="Calibri"/>
          <w:color w:val="1B1C1D"/>
          <w:sz w:val="22"/>
          <w:szCs w:val="22"/>
        </w:rPr>
        <w:t>high</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academic</w:t>
      </w:r>
      <w:proofErr w:type="spellEnd"/>
      <w:r>
        <w:rPr>
          <w:rFonts w:ascii="Calibri" w:eastAsia="sans-serif" w:hAnsi="Calibri" w:cs="Calibri"/>
          <w:color w:val="1B1C1D"/>
          <w:sz w:val="22"/>
          <w:szCs w:val="22"/>
        </w:rPr>
        <w:t xml:space="preserve"> performance in </w:t>
      </w:r>
      <w:proofErr w:type="spellStart"/>
      <w:r>
        <w:rPr>
          <w:rFonts w:ascii="Calibri" w:eastAsia="sans-serif" w:hAnsi="Calibri" w:cs="Calibri"/>
          <w:color w:val="1B1C1D"/>
          <w:sz w:val="22"/>
          <w:szCs w:val="22"/>
        </w:rPr>
        <w:t>the</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context</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of</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higher</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education</w:t>
      </w:r>
      <w:proofErr w:type="spellEnd"/>
      <w:r>
        <w:rPr>
          <w:rFonts w:ascii="Calibri" w:eastAsia="sans-serif" w:hAnsi="Calibri" w:cs="Calibri"/>
          <w:color w:val="1B1C1D"/>
          <w:sz w:val="22"/>
          <w:szCs w:val="22"/>
        </w:rPr>
        <w:t xml:space="preserve"> in Chile. </w:t>
      </w:r>
      <w:proofErr w:type="spellStart"/>
      <w:r>
        <w:rPr>
          <w:rFonts w:ascii="Calibri" w:eastAsia="sans-serif" w:hAnsi="Calibri" w:cs="Calibri"/>
          <w:i/>
          <w:iCs/>
          <w:color w:val="1B1C1D"/>
          <w:sz w:val="22"/>
          <w:szCs w:val="22"/>
        </w:rPr>
        <w:t>Formacion</w:t>
      </w:r>
      <w:proofErr w:type="spellEnd"/>
      <w:r>
        <w:rPr>
          <w:rFonts w:ascii="Calibri" w:eastAsia="sans-serif" w:hAnsi="Calibri" w:cs="Calibri"/>
          <w:i/>
          <w:iCs/>
          <w:color w:val="1B1C1D"/>
          <w:sz w:val="22"/>
          <w:szCs w:val="22"/>
        </w:rPr>
        <w:t xml:space="preserve"> Universitaria</w:t>
      </w:r>
      <w:r>
        <w:rPr>
          <w:rFonts w:ascii="Calibri" w:eastAsia="sans-serif" w:hAnsi="Calibri" w:cs="Calibri"/>
          <w:color w:val="1B1C1D"/>
          <w:sz w:val="22"/>
          <w:szCs w:val="22"/>
        </w:rPr>
        <w:t xml:space="preserve">, </w:t>
      </w:r>
      <w:r>
        <w:rPr>
          <w:rFonts w:ascii="Calibri" w:eastAsia="sans-serif" w:hAnsi="Calibri" w:cs="Calibri"/>
          <w:i/>
          <w:iCs/>
          <w:color w:val="1B1C1D"/>
          <w:sz w:val="22"/>
          <w:szCs w:val="22"/>
        </w:rPr>
        <w:t>12</w:t>
      </w:r>
      <w:r>
        <w:rPr>
          <w:rFonts w:ascii="Calibri" w:eastAsia="sans-serif" w:hAnsi="Calibri" w:cs="Calibri"/>
          <w:color w:val="1B1C1D"/>
          <w:sz w:val="22"/>
          <w:szCs w:val="22"/>
        </w:rPr>
        <w:t xml:space="preserve">(4), 27–38. </w:t>
      </w:r>
      <w:hyperlink r:id="rId26" w:tgtFrame="https://gemini.google.com/app/_blank" w:history="1">
        <w:r>
          <w:rPr>
            <w:rStyle w:val="Hipervnculo"/>
            <w:rFonts w:ascii="Calibri" w:eastAsia="sans-serif" w:hAnsi="Calibri" w:cs="Calibri"/>
            <w:color w:val="0B57D0"/>
            <w:sz w:val="22"/>
            <w:szCs w:val="22"/>
          </w:rPr>
          <w:t>https://doi.org/10.4067/S0718-50062019000400027</w:t>
        </w:r>
      </w:hyperlink>
    </w:p>
    <w:p w14:paraId="3D7C9E7F" w14:textId="77777777" w:rsidR="00726E42" w:rsidRDefault="00000000">
      <w:pPr>
        <w:pStyle w:val="NormalWeb"/>
        <w:pBdr>
          <w:top w:val="none" w:sz="0" w:space="0" w:color="1B1C1D"/>
          <w:left w:val="none" w:sz="0" w:space="0" w:color="1B1C1D"/>
          <w:bottom w:val="none" w:sz="0" w:space="0" w:color="1B1C1D"/>
          <w:right w:val="none" w:sz="0" w:space="0" w:color="1B1C1D"/>
        </w:pBdr>
        <w:spacing w:beforeLines="50" w:before="120" w:beforeAutospacing="0" w:after="0" w:afterAutospacing="0" w:line="12" w:lineRule="atLeast"/>
        <w:ind w:left="720" w:hanging="720"/>
        <w:jc w:val="both"/>
        <w:rPr>
          <w:rFonts w:ascii="Calibri" w:eastAsia="sans-serif" w:hAnsi="Calibri" w:cs="Calibri"/>
          <w:color w:val="0B57D0"/>
          <w:sz w:val="22"/>
          <w:szCs w:val="22"/>
        </w:rPr>
      </w:pPr>
      <w:r>
        <w:rPr>
          <w:rFonts w:ascii="Calibri" w:eastAsia="sans-serif" w:hAnsi="Calibri" w:cs="Calibri"/>
          <w:color w:val="1B1C1D"/>
          <w:sz w:val="22"/>
          <w:szCs w:val="22"/>
        </w:rPr>
        <w:t>Iñiguez-Monroy, C. G., Aguilar-Salinas, W. E., De las Fuentes-Lara, M., &amp; Rodríguez-González, R. E. (2024</w:t>
      </w:r>
      <w:r>
        <w:rPr>
          <w:rFonts w:ascii="Calibri" w:eastAsia="sans-serif" w:hAnsi="Calibri" w:cs="Calibri"/>
          <w:color w:val="1B1C1D"/>
          <w:sz w:val="22"/>
          <w:szCs w:val="22"/>
          <w:lang w:val="es-ES"/>
        </w:rPr>
        <w:t>a</w:t>
      </w:r>
      <w:r>
        <w:rPr>
          <w:rFonts w:ascii="Calibri" w:eastAsia="sans-serif" w:hAnsi="Calibri" w:cs="Calibri"/>
          <w:color w:val="1B1C1D"/>
          <w:sz w:val="22"/>
          <w:szCs w:val="22"/>
        </w:rPr>
        <w:t xml:space="preserve">). Comparative </w:t>
      </w:r>
      <w:proofErr w:type="spellStart"/>
      <w:r>
        <w:rPr>
          <w:rFonts w:ascii="Calibri" w:eastAsia="sans-serif" w:hAnsi="Calibri" w:cs="Calibri"/>
          <w:color w:val="1B1C1D"/>
          <w:sz w:val="22"/>
          <w:szCs w:val="22"/>
        </w:rPr>
        <w:t>analysis</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of</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chemistry</w:t>
      </w:r>
      <w:proofErr w:type="spellEnd"/>
      <w:r>
        <w:rPr>
          <w:rFonts w:ascii="Calibri" w:eastAsia="sans-serif" w:hAnsi="Calibri" w:cs="Calibri"/>
          <w:color w:val="1B1C1D"/>
          <w:sz w:val="22"/>
          <w:szCs w:val="22"/>
        </w:rPr>
        <w:t xml:space="preserve"> performance in </w:t>
      </w:r>
      <w:proofErr w:type="spellStart"/>
      <w:r>
        <w:rPr>
          <w:rFonts w:ascii="Calibri" w:eastAsia="sans-serif" w:hAnsi="Calibri" w:cs="Calibri"/>
          <w:color w:val="1B1C1D"/>
          <w:sz w:val="22"/>
          <w:szCs w:val="22"/>
        </w:rPr>
        <w:t>graduates</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from</w:t>
      </w:r>
      <w:proofErr w:type="spellEnd"/>
      <w:r>
        <w:rPr>
          <w:rFonts w:ascii="Calibri" w:eastAsia="sans-serif" w:hAnsi="Calibri" w:cs="Calibri"/>
          <w:color w:val="1B1C1D"/>
          <w:sz w:val="22"/>
          <w:szCs w:val="22"/>
        </w:rPr>
        <w:t xml:space="preserve"> general and </w:t>
      </w:r>
      <w:proofErr w:type="spellStart"/>
      <w:r>
        <w:rPr>
          <w:rFonts w:ascii="Calibri" w:eastAsia="sans-serif" w:hAnsi="Calibri" w:cs="Calibri"/>
          <w:color w:val="1B1C1D"/>
          <w:sz w:val="22"/>
          <w:szCs w:val="22"/>
        </w:rPr>
        <w:t>technical</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high</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schools</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implications</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for</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engineering</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higher</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education</w:t>
      </w:r>
      <w:proofErr w:type="spellEnd"/>
      <w:r>
        <w:rPr>
          <w:rFonts w:ascii="Calibri" w:eastAsia="sans-serif" w:hAnsi="Calibri" w:cs="Calibri"/>
          <w:color w:val="1B1C1D"/>
          <w:sz w:val="22"/>
          <w:szCs w:val="22"/>
        </w:rPr>
        <w:t xml:space="preserve">. </w:t>
      </w:r>
      <w:proofErr w:type="spellStart"/>
      <w:r>
        <w:rPr>
          <w:rFonts w:ascii="Calibri" w:eastAsia="sans-serif" w:hAnsi="Calibri" w:cs="Calibri"/>
          <w:i/>
          <w:iCs/>
          <w:color w:val="1B1C1D"/>
          <w:sz w:val="22"/>
          <w:szCs w:val="22"/>
        </w:rPr>
        <w:t>Formacion</w:t>
      </w:r>
      <w:proofErr w:type="spellEnd"/>
      <w:r>
        <w:rPr>
          <w:rFonts w:ascii="Calibri" w:eastAsia="sans-serif" w:hAnsi="Calibri" w:cs="Calibri"/>
          <w:i/>
          <w:iCs/>
          <w:color w:val="1B1C1D"/>
          <w:sz w:val="22"/>
          <w:szCs w:val="22"/>
        </w:rPr>
        <w:t xml:space="preserve"> Universitaria</w:t>
      </w:r>
      <w:r>
        <w:rPr>
          <w:rFonts w:ascii="Calibri" w:eastAsia="sans-serif" w:hAnsi="Calibri" w:cs="Calibri"/>
          <w:color w:val="1B1C1D"/>
          <w:sz w:val="22"/>
          <w:szCs w:val="22"/>
        </w:rPr>
        <w:t xml:space="preserve">, </w:t>
      </w:r>
      <w:r>
        <w:rPr>
          <w:rFonts w:ascii="Calibri" w:eastAsia="sans-serif" w:hAnsi="Calibri" w:cs="Calibri"/>
          <w:i/>
          <w:iCs/>
          <w:color w:val="1B1C1D"/>
          <w:sz w:val="22"/>
          <w:szCs w:val="22"/>
        </w:rPr>
        <w:t>17</w:t>
      </w:r>
      <w:r>
        <w:rPr>
          <w:rFonts w:ascii="Calibri" w:eastAsia="sans-serif" w:hAnsi="Calibri" w:cs="Calibri"/>
          <w:color w:val="1B1C1D"/>
          <w:sz w:val="22"/>
          <w:szCs w:val="22"/>
        </w:rPr>
        <w:t xml:space="preserve">(3), 83–94. </w:t>
      </w:r>
      <w:hyperlink r:id="rId27" w:tgtFrame="https://gemini.google.com/app/_blank" w:history="1">
        <w:r>
          <w:rPr>
            <w:rStyle w:val="Hipervnculo"/>
            <w:rFonts w:ascii="Calibri" w:eastAsia="sans-serif" w:hAnsi="Calibri" w:cs="Calibri"/>
            <w:color w:val="0B57D0"/>
            <w:sz w:val="22"/>
            <w:szCs w:val="22"/>
          </w:rPr>
          <w:t>https://doi.org/10.4067/S0718-50062024000300083</w:t>
        </w:r>
      </w:hyperlink>
    </w:p>
    <w:p w14:paraId="70D93521" w14:textId="77777777" w:rsidR="00726E42" w:rsidRDefault="00000000">
      <w:pPr>
        <w:spacing w:before="120" w:after="0" w:line="240" w:lineRule="auto"/>
        <w:ind w:left="720" w:hanging="720"/>
        <w:jc w:val="both"/>
        <w:rPr>
          <w:rFonts w:eastAsia="Times New Roman"/>
        </w:rPr>
      </w:pPr>
      <w:proofErr w:type="spellStart"/>
      <w:r>
        <w:rPr>
          <w:rFonts w:eastAsia="Times New Roman"/>
          <w:lang w:bidi="ar"/>
        </w:rPr>
        <w:t>Iñiguez</w:t>
      </w:r>
      <w:proofErr w:type="spellEnd"/>
      <w:r>
        <w:rPr>
          <w:rFonts w:eastAsia="Times New Roman"/>
          <w:lang w:bidi="ar"/>
        </w:rPr>
        <w:t xml:space="preserve">-Monroy, C. G., Aguilar-Salinas, W. E., De las Fuentes-Lara, M., &amp; Rodríguez-González, R. E. (2024b). Comparative analysis of chemistry performance in graduates from general and technical high schools: implications for engineering higher education | </w:t>
      </w:r>
      <w:proofErr w:type="spellStart"/>
      <w:r>
        <w:rPr>
          <w:rFonts w:eastAsia="Times New Roman"/>
          <w:lang w:bidi="ar"/>
        </w:rPr>
        <w:t>Análisis</w:t>
      </w:r>
      <w:proofErr w:type="spellEnd"/>
      <w:r>
        <w:rPr>
          <w:rFonts w:eastAsia="Times New Roman"/>
          <w:lang w:bidi="ar"/>
        </w:rPr>
        <w:t xml:space="preserve"> </w:t>
      </w:r>
      <w:proofErr w:type="spellStart"/>
      <w:r>
        <w:rPr>
          <w:rFonts w:eastAsia="Times New Roman"/>
          <w:lang w:bidi="ar"/>
        </w:rPr>
        <w:t>comparativo</w:t>
      </w:r>
      <w:proofErr w:type="spellEnd"/>
      <w:r>
        <w:rPr>
          <w:rFonts w:eastAsia="Times New Roman"/>
          <w:lang w:bidi="ar"/>
        </w:rPr>
        <w:t xml:space="preserve"> del </w:t>
      </w:r>
      <w:proofErr w:type="spellStart"/>
      <w:r>
        <w:rPr>
          <w:rFonts w:eastAsia="Times New Roman"/>
          <w:lang w:bidi="ar"/>
        </w:rPr>
        <w:t>desempeño</w:t>
      </w:r>
      <w:proofErr w:type="spellEnd"/>
      <w:r>
        <w:rPr>
          <w:rFonts w:eastAsia="Times New Roman"/>
          <w:lang w:bidi="ar"/>
        </w:rPr>
        <w:t xml:space="preserve"> </w:t>
      </w:r>
      <w:proofErr w:type="spellStart"/>
      <w:r>
        <w:rPr>
          <w:rFonts w:eastAsia="Times New Roman"/>
          <w:lang w:bidi="ar"/>
        </w:rPr>
        <w:t>en</w:t>
      </w:r>
      <w:proofErr w:type="spellEnd"/>
      <w:r>
        <w:rPr>
          <w:rFonts w:eastAsia="Times New Roman"/>
          <w:lang w:bidi="ar"/>
        </w:rPr>
        <w:t xml:space="preserve"> </w:t>
      </w:r>
      <w:proofErr w:type="spellStart"/>
      <w:r>
        <w:rPr>
          <w:rFonts w:eastAsia="Times New Roman"/>
          <w:lang w:bidi="ar"/>
        </w:rPr>
        <w:t>química</w:t>
      </w:r>
      <w:proofErr w:type="spellEnd"/>
      <w:r>
        <w:rPr>
          <w:rFonts w:eastAsia="Times New Roman"/>
          <w:lang w:bidi="ar"/>
        </w:rPr>
        <w:t xml:space="preserve"> </w:t>
      </w:r>
      <w:proofErr w:type="spellStart"/>
      <w:r>
        <w:rPr>
          <w:rFonts w:eastAsia="Times New Roman"/>
          <w:lang w:bidi="ar"/>
        </w:rPr>
        <w:t>en</w:t>
      </w:r>
      <w:proofErr w:type="spellEnd"/>
      <w:r>
        <w:rPr>
          <w:rFonts w:eastAsia="Times New Roman"/>
          <w:lang w:bidi="ar"/>
        </w:rPr>
        <w:t xml:space="preserve"> </w:t>
      </w:r>
      <w:proofErr w:type="spellStart"/>
      <w:r>
        <w:rPr>
          <w:rFonts w:eastAsia="Times New Roman"/>
          <w:lang w:bidi="ar"/>
        </w:rPr>
        <w:t>egresados</w:t>
      </w:r>
      <w:proofErr w:type="spellEnd"/>
      <w:r>
        <w:rPr>
          <w:rFonts w:eastAsia="Times New Roman"/>
          <w:lang w:bidi="ar"/>
        </w:rPr>
        <w:t xml:space="preserve"> de </w:t>
      </w:r>
      <w:proofErr w:type="spellStart"/>
      <w:r>
        <w:rPr>
          <w:rFonts w:eastAsia="Times New Roman"/>
          <w:lang w:bidi="ar"/>
        </w:rPr>
        <w:t>bachilleratos</w:t>
      </w:r>
      <w:proofErr w:type="spellEnd"/>
      <w:r>
        <w:rPr>
          <w:rFonts w:eastAsia="Times New Roman"/>
          <w:lang w:bidi="ar"/>
        </w:rPr>
        <w:t xml:space="preserve"> </w:t>
      </w:r>
      <w:proofErr w:type="spellStart"/>
      <w:r>
        <w:rPr>
          <w:rFonts w:eastAsia="Times New Roman"/>
          <w:lang w:bidi="ar"/>
        </w:rPr>
        <w:t>generales</w:t>
      </w:r>
      <w:proofErr w:type="spellEnd"/>
      <w:r>
        <w:rPr>
          <w:rFonts w:eastAsia="Times New Roman"/>
          <w:lang w:bidi="ar"/>
        </w:rPr>
        <w:t xml:space="preserve"> y </w:t>
      </w:r>
      <w:proofErr w:type="spellStart"/>
      <w:r>
        <w:rPr>
          <w:rFonts w:eastAsia="Times New Roman"/>
          <w:lang w:bidi="ar"/>
        </w:rPr>
        <w:t>tecnológicos</w:t>
      </w:r>
      <w:proofErr w:type="spellEnd"/>
      <w:r>
        <w:rPr>
          <w:rFonts w:eastAsia="Times New Roman"/>
          <w:lang w:bidi="ar"/>
        </w:rPr>
        <w:t xml:space="preserve">: </w:t>
      </w:r>
      <w:proofErr w:type="spellStart"/>
      <w:r>
        <w:rPr>
          <w:rFonts w:eastAsia="Times New Roman"/>
          <w:lang w:bidi="ar"/>
        </w:rPr>
        <w:t>impli</w:t>
      </w:r>
      <w:proofErr w:type="spellEnd"/>
      <w:r>
        <w:rPr>
          <w:rFonts w:eastAsia="Times New Roman"/>
          <w:lang w:bidi="ar"/>
        </w:rPr>
        <w:t xml:space="preserve">. </w:t>
      </w:r>
      <w:proofErr w:type="spellStart"/>
      <w:r>
        <w:rPr>
          <w:rFonts w:eastAsia="Times New Roman"/>
          <w:i/>
          <w:iCs/>
          <w:lang w:bidi="ar"/>
        </w:rPr>
        <w:t>Formacion</w:t>
      </w:r>
      <w:proofErr w:type="spellEnd"/>
      <w:r>
        <w:rPr>
          <w:rFonts w:eastAsia="Times New Roman"/>
          <w:i/>
          <w:iCs/>
          <w:lang w:bidi="ar"/>
        </w:rPr>
        <w:t xml:space="preserve"> </w:t>
      </w:r>
      <w:proofErr w:type="spellStart"/>
      <w:r>
        <w:rPr>
          <w:rFonts w:eastAsia="Times New Roman"/>
          <w:i/>
          <w:iCs/>
          <w:lang w:bidi="ar"/>
        </w:rPr>
        <w:t>Universitaria</w:t>
      </w:r>
      <w:proofErr w:type="spellEnd"/>
      <w:r>
        <w:rPr>
          <w:rFonts w:eastAsia="Times New Roman"/>
          <w:lang w:bidi="ar"/>
        </w:rPr>
        <w:t xml:space="preserve">, 17(3), 83–94. </w:t>
      </w:r>
      <w:hyperlink r:id="rId28" w:history="1">
        <w:r>
          <w:rPr>
            <w:rStyle w:val="Hipervnculo"/>
            <w:rFonts w:eastAsia="Times New Roman"/>
          </w:rPr>
          <w:t>https://doi.org/10.4067/S0718-50062024000300083</w:t>
        </w:r>
      </w:hyperlink>
      <w:r>
        <w:rPr>
          <w:rFonts w:eastAsia="Times New Roman"/>
          <w:lang w:bidi="ar"/>
        </w:rPr>
        <w:t xml:space="preserve"> </w:t>
      </w:r>
    </w:p>
    <w:p w14:paraId="57D823FB" w14:textId="77777777" w:rsidR="00726E42" w:rsidRDefault="00000000">
      <w:pPr>
        <w:pStyle w:val="NormalWeb"/>
        <w:pBdr>
          <w:top w:val="none" w:sz="0" w:space="0" w:color="1B1C1D"/>
          <w:left w:val="none" w:sz="0" w:space="0" w:color="1B1C1D"/>
          <w:bottom w:val="none" w:sz="0" w:space="0" w:color="1B1C1D"/>
          <w:right w:val="none" w:sz="0" w:space="0" w:color="1B1C1D"/>
        </w:pBdr>
        <w:spacing w:beforeLines="50" w:before="120" w:beforeAutospacing="0" w:after="0" w:afterAutospacing="0" w:line="12" w:lineRule="atLeast"/>
        <w:ind w:left="720" w:hanging="720"/>
        <w:jc w:val="both"/>
        <w:rPr>
          <w:rFonts w:ascii="Calibri" w:eastAsia="sans-serif" w:hAnsi="Calibri" w:cs="Calibri"/>
          <w:color w:val="1B1C1D"/>
          <w:sz w:val="22"/>
          <w:szCs w:val="22"/>
        </w:rPr>
      </w:pPr>
      <w:r>
        <w:rPr>
          <w:rFonts w:ascii="Calibri" w:eastAsia="sans-serif" w:hAnsi="Calibri" w:cs="Calibri"/>
          <w:color w:val="1B1C1D"/>
          <w:sz w:val="22"/>
          <w:szCs w:val="22"/>
        </w:rPr>
        <w:t xml:space="preserve">Mago Ramos, M. G., &amp; Rocha Pachón, S. (2021). Diseño e implementación del plan de mantenimiento preventivo de los equipos de la empresa Granitos y Mármoles Acabados SAS. </w:t>
      </w:r>
      <w:r>
        <w:rPr>
          <w:rFonts w:ascii="Calibri" w:eastAsia="sans-serif" w:hAnsi="Calibri" w:cs="Calibri"/>
          <w:i/>
          <w:iCs/>
          <w:color w:val="1B1C1D"/>
          <w:sz w:val="22"/>
          <w:szCs w:val="22"/>
        </w:rPr>
        <w:t>Ciencia y Poder Aéreo</w:t>
      </w:r>
      <w:r>
        <w:rPr>
          <w:rFonts w:ascii="Calibri" w:eastAsia="sans-serif" w:hAnsi="Calibri" w:cs="Calibri"/>
          <w:color w:val="1B1C1D"/>
          <w:sz w:val="22"/>
          <w:szCs w:val="22"/>
        </w:rPr>
        <w:t xml:space="preserve">, </w:t>
      </w:r>
      <w:r>
        <w:rPr>
          <w:rFonts w:ascii="Calibri" w:eastAsia="sans-serif" w:hAnsi="Calibri" w:cs="Calibri"/>
          <w:i/>
          <w:iCs/>
          <w:color w:val="1B1C1D"/>
          <w:sz w:val="22"/>
          <w:szCs w:val="22"/>
        </w:rPr>
        <w:t>16</w:t>
      </w:r>
      <w:r>
        <w:rPr>
          <w:rFonts w:ascii="Calibri" w:eastAsia="sans-serif" w:hAnsi="Calibri" w:cs="Calibri"/>
          <w:color w:val="1B1C1D"/>
          <w:sz w:val="22"/>
          <w:szCs w:val="22"/>
        </w:rPr>
        <w:t xml:space="preserve">(2). </w:t>
      </w:r>
      <w:hyperlink r:id="rId29" w:tgtFrame="https://gemini.google.com/app/_blank" w:history="1">
        <w:r>
          <w:rPr>
            <w:rStyle w:val="Hipervnculo"/>
            <w:rFonts w:ascii="Calibri" w:eastAsia="sans-serif" w:hAnsi="Calibri" w:cs="Calibri"/>
            <w:color w:val="0B57D0"/>
            <w:sz w:val="22"/>
            <w:szCs w:val="22"/>
          </w:rPr>
          <w:t>https://doi.org/10.18667/cienciaypoderaereo.703</w:t>
        </w:r>
      </w:hyperlink>
    </w:p>
    <w:p w14:paraId="19E92ABA" w14:textId="77777777" w:rsidR="00726E42" w:rsidRDefault="00000000">
      <w:pPr>
        <w:pStyle w:val="NormalWeb"/>
        <w:pBdr>
          <w:top w:val="none" w:sz="0" w:space="0" w:color="1B1C1D"/>
          <w:left w:val="none" w:sz="0" w:space="0" w:color="1B1C1D"/>
          <w:bottom w:val="none" w:sz="0" w:space="0" w:color="1B1C1D"/>
          <w:right w:val="none" w:sz="0" w:space="0" w:color="1B1C1D"/>
        </w:pBdr>
        <w:spacing w:beforeLines="50" w:before="120" w:beforeAutospacing="0" w:after="0" w:afterAutospacing="0" w:line="12" w:lineRule="atLeast"/>
        <w:ind w:left="720" w:hanging="720"/>
        <w:jc w:val="both"/>
        <w:rPr>
          <w:rFonts w:ascii="Calibri" w:eastAsia="sans-serif" w:hAnsi="Calibri" w:cs="Calibri"/>
          <w:color w:val="1B1C1D"/>
          <w:sz w:val="22"/>
          <w:szCs w:val="22"/>
        </w:rPr>
      </w:pPr>
      <w:r>
        <w:rPr>
          <w:rFonts w:ascii="Calibri" w:eastAsia="sans-serif" w:hAnsi="Calibri" w:cs="Calibri"/>
          <w:color w:val="1B1C1D"/>
          <w:sz w:val="22"/>
          <w:szCs w:val="22"/>
        </w:rPr>
        <w:t xml:space="preserve">Muñoz Andrade, E. L. (2024). Aplicación de la inteligencia artificial en la educación superior. </w:t>
      </w:r>
      <w:r>
        <w:rPr>
          <w:rFonts w:ascii="Calibri" w:eastAsia="sans-serif" w:hAnsi="Calibri" w:cs="Calibri"/>
          <w:i/>
          <w:iCs/>
          <w:color w:val="1B1C1D"/>
          <w:sz w:val="22"/>
          <w:szCs w:val="22"/>
        </w:rPr>
        <w:t>DOCERE</w:t>
      </w:r>
      <w:r>
        <w:rPr>
          <w:rFonts w:ascii="Calibri" w:eastAsia="sans-serif" w:hAnsi="Calibri" w:cs="Calibri"/>
          <w:color w:val="1B1C1D"/>
          <w:sz w:val="22"/>
          <w:szCs w:val="22"/>
        </w:rPr>
        <w:t xml:space="preserve">, </w:t>
      </w:r>
      <w:r>
        <w:rPr>
          <w:rFonts w:ascii="Calibri" w:eastAsia="sans-serif" w:hAnsi="Calibri" w:cs="Calibri"/>
          <w:i/>
          <w:iCs/>
          <w:color w:val="1B1C1D"/>
          <w:sz w:val="22"/>
          <w:szCs w:val="22"/>
        </w:rPr>
        <w:t>29</w:t>
      </w:r>
      <w:r>
        <w:rPr>
          <w:rFonts w:ascii="Calibri" w:eastAsia="sans-serif" w:hAnsi="Calibri" w:cs="Calibri"/>
          <w:color w:val="1B1C1D"/>
          <w:sz w:val="22"/>
          <w:szCs w:val="22"/>
        </w:rPr>
        <w:t xml:space="preserve">. </w:t>
      </w:r>
      <w:hyperlink r:id="rId30" w:tgtFrame="https://gemini.google.com/app/_blank" w:history="1">
        <w:r>
          <w:rPr>
            <w:rStyle w:val="Hipervnculo"/>
            <w:rFonts w:ascii="Calibri" w:eastAsia="sans-serif" w:hAnsi="Calibri" w:cs="Calibri"/>
            <w:color w:val="0B57D0"/>
            <w:sz w:val="22"/>
            <w:szCs w:val="22"/>
          </w:rPr>
          <w:t>https://doi.org/10.33064/2023docere295075</w:t>
        </w:r>
      </w:hyperlink>
    </w:p>
    <w:p w14:paraId="2118F38B" w14:textId="77777777" w:rsidR="00726E42" w:rsidRDefault="00000000">
      <w:pPr>
        <w:pStyle w:val="NormalWeb"/>
        <w:pBdr>
          <w:top w:val="none" w:sz="0" w:space="0" w:color="1B1C1D"/>
          <w:left w:val="none" w:sz="0" w:space="0" w:color="1B1C1D"/>
          <w:bottom w:val="none" w:sz="0" w:space="0" w:color="1B1C1D"/>
          <w:right w:val="none" w:sz="0" w:space="0" w:color="1B1C1D"/>
        </w:pBdr>
        <w:spacing w:beforeLines="50" w:before="120" w:beforeAutospacing="0" w:after="0" w:afterAutospacing="0" w:line="12" w:lineRule="atLeast"/>
        <w:ind w:left="720" w:hanging="720"/>
        <w:jc w:val="both"/>
        <w:rPr>
          <w:rFonts w:ascii="Calibri" w:eastAsia="sans-serif" w:hAnsi="Calibri" w:cs="Calibri"/>
          <w:color w:val="1B1C1D"/>
          <w:sz w:val="22"/>
          <w:szCs w:val="22"/>
        </w:rPr>
      </w:pPr>
      <w:r>
        <w:rPr>
          <w:rFonts w:ascii="Calibri" w:eastAsia="sans-serif" w:hAnsi="Calibri" w:cs="Calibri"/>
          <w:color w:val="1B1C1D"/>
          <w:sz w:val="22"/>
          <w:szCs w:val="22"/>
        </w:rPr>
        <w:t xml:space="preserve">Muñoz, R. E., Pulgar, J. A., &amp; Sánchez, I. R. (2025). </w:t>
      </w:r>
      <w:proofErr w:type="spellStart"/>
      <w:r>
        <w:rPr>
          <w:rFonts w:ascii="Calibri" w:eastAsia="sans-serif" w:hAnsi="Calibri" w:cs="Calibri"/>
          <w:color w:val="1B1C1D"/>
          <w:sz w:val="22"/>
          <w:szCs w:val="22"/>
        </w:rPr>
        <w:t>Collaboration</w:t>
      </w:r>
      <w:proofErr w:type="spellEnd"/>
      <w:r>
        <w:rPr>
          <w:rFonts w:ascii="Calibri" w:eastAsia="sans-serif" w:hAnsi="Calibri" w:cs="Calibri"/>
          <w:color w:val="1B1C1D"/>
          <w:sz w:val="22"/>
          <w:szCs w:val="22"/>
        </w:rPr>
        <w:t xml:space="preserve"> and </w:t>
      </w:r>
      <w:proofErr w:type="spellStart"/>
      <w:r>
        <w:rPr>
          <w:rFonts w:ascii="Calibri" w:eastAsia="sans-serif" w:hAnsi="Calibri" w:cs="Calibri"/>
          <w:color w:val="1B1C1D"/>
          <w:sz w:val="22"/>
          <w:szCs w:val="22"/>
        </w:rPr>
        <w:t>academic</w:t>
      </w:r>
      <w:proofErr w:type="spellEnd"/>
      <w:r>
        <w:rPr>
          <w:rFonts w:ascii="Calibri" w:eastAsia="sans-serif" w:hAnsi="Calibri" w:cs="Calibri"/>
          <w:color w:val="1B1C1D"/>
          <w:sz w:val="22"/>
          <w:szCs w:val="22"/>
        </w:rPr>
        <w:t xml:space="preserve"> performance in </w:t>
      </w:r>
      <w:proofErr w:type="spellStart"/>
      <w:r>
        <w:rPr>
          <w:rFonts w:ascii="Calibri" w:eastAsia="sans-serif" w:hAnsi="Calibri" w:cs="Calibri"/>
          <w:color w:val="1B1C1D"/>
          <w:sz w:val="22"/>
          <w:szCs w:val="22"/>
        </w:rPr>
        <w:t>introductory</w:t>
      </w:r>
      <w:proofErr w:type="spellEnd"/>
      <w:r>
        <w:rPr>
          <w:rFonts w:ascii="Calibri" w:eastAsia="sans-serif" w:hAnsi="Calibri" w:cs="Calibri"/>
          <w:color w:val="1B1C1D"/>
          <w:sz w:val="22"/>
          <w:szCs w:val="22"/>
        </w:rPr>
        <w:t xml:space="preserve"> online </w:t>
      </w:r>
      <w:proofErr w:type="spellStart"/>
      <w:r>
        <w:rPr>
          <w:rFonts w:ascii="Calibri" w:eastAsia="sans-serif" w:hAnsi="Calibri" w:cs="Calibri"/>
          <w:color w:val="1B1C1D"/>
          <w:sz w:val="22"/>
          <w:szCs w:val="22"/>
        </w:rPr>
        <w:t>physics</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an</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exploration</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through</w:t>
      </w:r>
      <w:proofErr w:type="spellEnd"/>
      <w:r>
        <w:rPr>
          <w:rFonts w:ascii="Calibri" w:eastAsia="sans-serif" w:hAnsi="Calibri" w:cs="Calibri"/>
          <w:color w:val="1B1C1D"/>
          <w:sz w:val="22"/>
          <w:szCs w:val="22"/>
        </w:rPr>
        <w:t xml:space="preserve"> social </w:t>
      </w:r>
      <w:proofErr w:type="spellStart"/>
      <w:r>
        <w:rPr>
          <w:rFonts w:ascii="Calibri" w:eastAsia="sans-serif" w:hAnsi="Calibri" w:cs="Calibri"/>
          <w:color w:val="1B1C1D"/>
          <w:sz w:val="22"/>
          <w:szCs w:val="22"/>
        </w:rPr>
        <w:t>network</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analysis</w:t>
      </w:r>
      <w:proofErr w:type="spellEnd"/>
      <w:r>
        <w:rPr>
          <w:rFonts w:ascii="Calibri" w:eastAsia="sans-serif" w:hAnsi="Calibri" w:cs="Calibri"/>
          <w:color w:val="1B1C1D"/>
          <w:sz w:val="22"/>
          <w:szCs w:val="22"/>
        </w:rPr>
        <w:t xml:space="preserve">. </w:t>
      </w:r>
      <w:proofErr w:type="spellStart"/>
      <w:r>
        <w:rPr>
          <w:rFonts w:ascii="Calibri" w:eastAsia="sans-serif" w:hAnsi="Calibri" w:cs="Calibri"/>
          <w:i/>
          <w:iCs/>
          <w:color w:val="1B1C1D"/>
          <w:sz w:val="22"/>
          <w:szCs w:val="22"/>
        </w:rPr>
        <w:t>Formacion</w:t>
      </w:r>
      <w:proofErr w:type="spellEnd"/>
      <w:r>
        <w:rPr>
          <w:rFonts w:ascii="Calibri" w:eastAsia="sans-serif" w:hAnsi="Calibri" w:cs="Calibri"/>
          <w:i/>
          <w:iCs/>
          <w:color w:val="1B1C1D"/>
          <w:sz w:val="22"/>
          <w:szCs w:val="22"/>
        </w:rPr>
        <w:t xml:space="preserve"> Universitaria</w:t>
      </w:r>
      <w:r>
        <w:rPr>
          <w:rFonts w:ascii="Calibri" w:eastAsia="sans-serif" w:hAnsi="Calibri" w:cs="Calibri"/>
          <w:color w:val="1B1C1D"/>
          <w:sz w:val="22"/>
          <w:szCs w:val="22"/>
        </w:rPr>
        <w:t xml:space="preserve">, </w:t>
      </w:r>
      <w:r>
        <w:rPr>
          <w:rFonts w:ascii="Calibri" w:eastAsia="sans-serif" w:hAnsi="Calibri" w:cs="Calibri"/>
          <w:i/>
          <w:iCs/>
          <w:color w:val="1B1C1D"/>
          <w:sz w:val="22"/>
          <w:szCs w:val="22"/>
        </w:rPr>
        <w:t>18</w:t>
      </w:r>
      <w:r>
        <w:rPr>
          <w:rFonts w:ascii="Calibri" w:eastAsia="sans-serif" w:hAnsi="Calibri" w:cs="Calibri"/>
          <w:color w:val="1B1C1D"/>
          <w:sz w:val="22"/>
          <w:szCs w:val="22"/>
        </w:rPr>
        <w:t xml:space="preserve">(2), 71–84. </w:t>
      </w:r>
      <w:hyperlink r:id="rId31" w:tgtFrame="https://gemini.google.com/app/_blank" w:history="1">
        <w:r>
          <w:rPr>
            <w:rStyle w:val="Hipervnculo"/>
            <w:rFonts w:ascii="Calibri" w:eastAsia="sans-serif" w:hAnsi="Calibri" w:cs="Calibri"/>
            <w:color w:val="0B57D0"/>
            <w:sz w:val="22"/>
            <w:szCs w:val="22"/>
          </w:rPr>
          <w:t>https://doi.org/10.4067/S0718-50062025000200071</w:t>
        </w:r>
      </w:hyperlink>
    </w:p>
    <w:p w14:paraId="5543EA65" w14:textId="77777777" w:rsidR="00726E42" w:rsidRDefault="00000000">
      <w:pPr>
        <w:pStyle w:val="NormalWeb"/>
        <w:pBdr>
          <w:top w:val="none" w:sz="0" w:space="0" w:color="1B1C1D"/>
          <w:left w:val="none" w:sz="0" w:space="0" w:color="1B1C1D"/>
          <w:bottom w:val="none" w:sz="0" w:space="0" w:color="1B1C1D"/>
          <w:right w:val="none" w:sz="0" w:space="0" w:color="1B1C1D"/>
        </w:pBdr>
        <w:spacing w:beforeLines="50" w:before="120" w:beforeAutospacing="0" w:after="0" w:afterAutospacing="0" w:line="12" w:lineRule="atLeast"/>
        <w:ind w:left="720" w:hanging="720"/>
        <w:jc w:val="both"/>
        <w:rPr>
          <w:rFonts w:ascii="Calibri" w:eastAsia="sans-serif" w:hAnsi="Calibri" w:cs="Calibri"/>
          <w:color w:val="1B1C1D"/>
          <w:sz w:val="22"/>
          <w:szCs w:val="22"/>
        </w:rPr>
      </w:pPr>
      <w:r>
        <w:rPr>
          <w:rFonts w:ascii="Calibri" w:eastAsia="sans-serif" w:hAnsi="Calibri" w:cs="Calibri"/>
          <w:color w:val="1B1C1D"/>
          <w:sz w:val="22"/>
          <w:szCs w:val="22"/>
        </w:rPr>
        <w:t xml:space="preserve">Ortiz-Padilla, M., Paredes-Bermúdez, M., Soto-Varela, R., &amp; Aldana-Rivera, E. (2020). </w:t>
      </w:r>
      <w:proofErr w:type="spellStart"/>
      <w:r>
        <w:rPr>
          <w:rFonts w:ascii="Calibri" w:eastAsia="sans-serif" w:hAnsi="Calibri" w:cs="Calibri"/>
          <w:color w:val="1B1C1D"/>
          <w:sz w:val="22"/>
          <w:szCs w:val="22"/>
        </w:rPr>
        <w:t>Mathematical</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anxiety</w:t>
      </w:r>
      <w:proofErr w:type="spellEnd"/>
      <w:r>
        <w:rPr>
          <w:rFonts w:ascii="Calibri" w:eastAsia="sans-serif" w:hAnsi="Calibri" w:cs="Calibri"/>
          <w:color w:val="1B1C1D"/>
          <w:sz w:val="22"/>
          <w:szCs w:val="22"/>
        </w:rPr>
        <w:t xml:space="preserve"> and </w:t>
      </w:r>
      <w:proofErr w:type="spellStart"/>
      <w:r>
        <w:rPr>
          <w:rFonts w:ascii="Calibri" w:eastAsia="sans-serif" w:hAnsi="Calibri" w:cs="Calibri"/>
          <w:color w:val="1B1C1D"/>
          <w:sz w:val="22"/>
          <w:szCs w:val="22"/>
        </w:rPr>
        <w:t>academic</w:t>
      </w:r>
      <w:proofErr w:type="spellEnd"/>
      <w:r>
        <w:rPr>
          <w:rFonts w:ascii="Calibri" w:eastAsia="sans-serif" w:hAnsi="Calibri" w:cs="Calibri"/>
          <w:color w:val="1B1C1D"/>
          <w:sz w:val="22"/>
          <w:szCs w:val="22"/>
        </w:rPr>
        <w:t xml:space="preserve"> performance in </w:t>
      </w:r>
      <w:proofErr w:type="spellStart"/>
      <w:r>
        <w:rPr>
          <w:rFonts w:ascii="Calibri" w:eastAsia="sans-serif" w:hAnsi="Calibri" w:cs="Calibri"/>
          <w:color w:val="1B1C1D"/>
          <w:sz w:val="22"/>
          <w:szCs w:val="22"/>
        </w:rPr>
        <w:t>engineering</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students</w:t>
      </w:r>
      <w:proofErr w:type="spellEnd"/>
      <w:r>
        <w:rPr>
          <w:rFonts w:ascii="Calibri" w:eastAsia="sans-serif" w:hAnsi="Calibri" w:cs="Calibri"/>
          <w:color w:val="1B1C1D"/>
          <w:sz w:val="22"/>
          <w:szCs w:val="22"/>
        </w:rPr>
        <w:t xml:space="preserve">. </w:t>
      </w:r>
      <w:proofErr w:type="spellStart"/>
      <w:r>
        <w:rPr>
          <w:rFonts w:ascii="Calibri" w:eastAsia="sans-serif" w:hAnsi="Calibri" w:cs="Calibri"/>
          <w:i/>
          <w:iCs/>
          <w:color w:val="1B1C1D"/>
          <w:sz w:val="22"/>
          <w:szCs w:val="22"/>
        </w:rPr>
        <w:t>Formacion</w:t>
      </w:r>
      <w:proofErr w:type="spellEnd"/>
      <w:r>
        <w:rPr>
          <w:rFonts w:ascii="Calibri" w:eastAsia="sans-serif" w:hAnsi="Calibri" w:cs="Calibri"/>
          <w:i/>
          <w:iCs/>
          <w:color w:val="1B1C1D"/>
          <w:sz w:val="22"/>
          <w:szCs w:val="22"/>
        </w:rPr>
        <w:t xml:space="preserve"> Universitaria</w:t>
      </w:r>
      <w:r>
        <w:rPr>
          <w:rFonts w:ascii="Calibri" w:eastAsia="sans-serif" w:hAnsi="Calibri" w:cs="Calibri"/>
          <w:color w:val="1B1C1D"/>
          <w:sz w:val="22"/>
          <w:szCs w:val="22"/>
        </w:rPr>
        <w:t xml:space="preserve">, </w:t>
      </w:r>
      <w:r>
        <w:rPr>
          <w:rFonts w:ascii="Calibri" w:eastAsia="sans-serif" w:hAnsi="Calibri" w:cs="Calibri"/>
          <w:i/>
          <w:iCs/>
          <w:color w:val="1B1C1D"/>
          <w:sz w:val="22"/>
          <w:szCs w:val="22"/>
        </w:rPr>
        <w:t>13</w:t>
      </w:r>
      <w:r>
        <w:rPr>
          <w:rFonts w:ascii="Calibri" w:eastAsia="sans-serif" w:hAnsi="Calibri" w:cs="Calibri"/>
          <w:color w:val="1B1C1D"/>
          <w:sz w:val="22"/>
          <w:szCs w:val="22"/>
        </w:rPr>
        <w:t xml:space="preserve">(4), 93–100. </w:t>
      </w:r>
      <w:hyperlink r:id="rId32" w:tgtFrame="https://gemini.google.com/app/_blank" w:history="1">
        <w:r>
          <w:rPr>
            <w:rStyle w:val="Hipervnculo"/>
            <w:rFonts w:ascii="Calibri" w:eastAsia="sans-serif" w:hAnsi="Calibri" w:cs="Calibri"/>
            <w:color w:val="0B57D0"/>
            <w:sz w:val="22"/>
            <w:szCs w:val="22"/>
          </w:rPr>
          <w:t>https://doi.org/10.4067/S0718-50062020000400093</w:t>
        </w:r>
      </w:hyperlink>
    </w:p>
    <w:p w14:paraId="298408CC" w14:textId="77777777" w:rsidR="00726E42" w:rsidRDefault="00000000">
      <w:pPr>
        <w:pStyle w:val="NormalWeb"/>
        <w:pBdr>
          <w:top w:val="none" w:sz="0" w:space="0" w:color="1B1C1D"/>
          <w:left w:val="none" w:sz="0" w:space="0" w:color="1B1C1D"/>
          <w:bottom w:val="none" w:sz="0" w:space="0" w:color="1B1C1D"/>
          <w:right w:val="none" w:sz="0" w:space="0" w:color="1B1C1D"/>
        </w:pBdr>
        <w:spacing w:beforeLines="50" w:before="120" w:beforeAutospacing="0" w:after="0" w:afterAutospacing="0" w:line="12" w:lineRule="atLeast"/>
        <w:ind w:left="720" w:hanging="720"/>
        <w:jc w:val="both"/>
        <w:rPr>
          <w:rFonts w:ascii="Calibri" w:eastAsia="sans-serif" w:hAnsi="Calibri" w:cs="Calibri"/>
          <w:color w:val="1B1C1D"/>
          <w:sz w:val="22"/>
          <w:szCs w:val="22"/>
        </w:rPr>
      </w:pPr>
      <w:r>
        <w:rPr>
          <w:rFonts w:ascii="Calibri" w:eastAsia="sans-serif" w:hAnsi="Calibri" w:cs="Calibri"/>
          <w:color w:val="1B1C1D"/>
          <w:sz w:val="22"/>
          <w:szCs w:val="22"/>
        </w:rPr>
        <w:t xml:space="preserve">Palominos, F. E., Díaz, H. M., Palominos, S. K., &amp; Cañete, L. R. (2018). </w:t>
      </w:r>
      <w:proofErr w:type="spellStart"/>
      <w:r>
        <w:rPr>
          <w:rFonts w:ascii="Calibri" w:eastAsia="sans-serif" w:hAnsi="Calibri" w:cs="Calibri"/>
          <w:color w:val="1B1C1D"/>
          <w:sz w:val="22"/>
          <w:szCs w:val="22"/>
        </w:rPr>
        <w:t>Relationship</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between</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Selection</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Procedures</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for</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Higher</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Education</w:t>
      </w:r>
      <w:proofErr w:type="spellEnd"/>
      <w:r>
        <w:rPr>
          <w:rFonts w:ascii="Calibri" w:eastAsia="sans-serif" w:hAnsi="Calibri" w:cs="Calibri"/>
          <w:color w:val="1B1C1D"/>
          <w:sz w:val="22"/>
          <w:szCs w:val="22"/>
        </w:rPr>
        <w:t xml:space="preserve"> and </w:t>
      </w:r>
      <w:proofErr w:type="spellStart"/>
      <w:r>
        <w:rPr>
          <w:rFonts w:ascii="Calibri" w:eastAsia="sans-serif" w:hAnsi="Calibri" w:cs="Calibri"/>
          <w:color w:val="1B1C1D"/>
          <w:sz w:val="22"/>
          <w:szCs w:val="22"/>
        </w:rPr>
        <w:t>Academic</w:t>
      </w:r>
      <w:proofErr w:type="spellEnd"/>
      <w:r>
        <w:rPr>
          <w:rFonts w:ascii="Calibri" w:eastAsia="sans-serif" w:hAnsi="Calibri" w:cs="Calibri"/>
          <w:color w:val="1B1C1D"/>
          <w:sz w:val="22"/>
          <w:szCs w:val="22"/>
        </w:rPr>
        <w:t xml:space="preserve"> Performance </w:t>
      </w:r>
      <w:proofErr w:type="spellStart"/>
      <w:r>
        <w:rPr>
          <w:rFonts w:ascii="Calibri" w:eastAsia="sans-serif" w:hAnsi="Calibri" w:cs="Calibri"/>
          <w:color w:val="1B1C1D"/>
          <w:sz w:val="22"/>
          <w:szCs w:val="22"/>
        </w:rPr>
        <w:t>of</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Students</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based</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on</w:t>
      </w:r>
      <w:proofErr w:type="spellEnd"/>
      <w:r>
        <w:rPr>
          <w:rFonts w:ascii="Calibri" w:eastAsia="sans-serif" w:hAnsi="Calibri" w:cs="Calibri"/>
          <w:color w:val="1B1C1D"/>
          <w:sz w:val="22"/>
          <w:szCs w:val="22"/>
        </w:rPr>
        <w:t xml:space="preserve"> a </w:t>
      </w:r>
      <w:proofErr w:type="spellStart"/>
      <w:r>
        <w:rPr>
          <w:rFonts w:ascii="Calibri" w:eastAsia="sans-serif" w:hAnsi="Calibri" w:cs="Calibri"/>
          <w:color w:val="1B1C1D"/>
          <w:sz w:val="22"/>
          <w:szCs w:val="22"/>
        </w:rPr>
        <w:t>Classification</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using</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Fuzzy</w:t>
      </w:r>
      <w:proofErr w:type="spellEnd"/>
      <w:r>
        <w:rPr>
          <w:rFonts w:ascii="Calibri" w:eastAsia="sans-serif" w:hAnsi="Calibri" w:cs="Calibri"/>
          <w:color w:val="1B1C1D"/>
          <w:sz w:val="22"/>
          <w:szCs w:val="22"/>
        </w:rPr>
        <w:t xml:space="preserve"> Sets. </w:t>
      </w:r>
      <w:proofErr w:type="spellStart"/>
      <w:r>
        <w:rPr>
          <w:rFonts w:ascii="Calibri" w:eastAsia="sans-serif" w:hAnsi="Calibri" w:cs="Calibri"/>
          <w:i/>
          <w:iCs/>
          <w:color w:val="1B1C1D"/>
          <w:sz w:val="22"/>
          <w:szCs w:val="22"/>
        </w:rPr>
        <w:t>Formacion</w:t>
      </w:r>
      <w:proofErr w:type="spellEnd"/>
      <w:r>
        <w:rPr>
          <w:rFonts w:ascii="Calibri" w:eastAsia="sans-serif" w:hAnsi="Calibri" w:cs="Calibri"/>
          <w:i/>
          <w:iCs/>
          <w:color w:val="1B1C1D"/>
          <w:sz w:val="22"/>
          <w:szCs w:val="22"/>
        </w:rPr>
        <w:t xml:space="preserve"> Universitaria</w:t>
      </w:r>
      <w:r>
        <w:rPr>
          <w:rFonts w:ascii="Calibri" w:eastAsia="sans-serif" w:hAnsi="Calibri" w:cs="Calibri"/>
          <w:color w:val="1B1C1D"/>
          <w:sz w:val="22"/>
          <w:szCs w:val="22"/>
        </w:rPr>
        <w:t xml:space="preserve">, </w:t>
      </w:r>
      <w:r>
        <w:rPr>
          <w:rFonts w:ascii="Calibri" w:eastAsia="sans-serif" w:hAnsi="Calibri" w:cs="Calibri"/>
          <w:i/>
          <w:iCs/>
          <w:color w:val="1B1C1D"/>
          <w:sz w:val="22"/>
          <w:szCs w:val="22"/>
        </w:rPr>
        <w:t>11</w:t>
      </w:r>
      <w:r>
        <w:rPr>
          <w:rFonts w:ascii="Calibri" w:eastAsia="sans-serif" w:hAnsi="Calibri" w:cs="Calibri"/>
          <w:color w:val="1B1C1D"/>
          <w:sz w:val="22"/>
          <w:szCs w:val="22"/>
        </w:rPr>
        <w:t xml:space="preserve">(1), 45–52. </w:t>
      </w:r>
      <w:hyperlink r:id="rId33" w:tgtFrame="https://gemini.google.com/app/_blank" w:history="1">
        <w:r>
          <w:rPr>
            <w:rStyle w:val="Hipervnculo"/>
            <w:rFonts w:ascii="Calibri" w:eastAsia="sans-serif" w:hAnsi="Calibri" w:cs="Calibri"/>
            <w:color w:val="0B57D0"/>
            <w:sz w:val="22"/>
            <w:szCs w:val="22"/>
          </w:rPr>
          <w:t>https://doi.org/10.4067/S0718-50062018000100045</w:t>
        </w:r>
      </w:hyperlink>
    </w:p>
    <w:p w14:paraId="4952475C" w14:textId="77777777" w:rsidR="00726E42" w:rsidRDefault="00000000">
      <w:pPr>
        <w:pStyle w:val="NormalWeb"/>
        <w:pBdr>
          <w:top w:val="none" w:sz="0" w:space="0" w:color="1B1C1D"/>
          <w:left w:val="none" w:sz="0" w:space="0" w:color="1B1C1D"/>
          <w:bottom w:val="none" w:sz="0" w:space="0" w:color="1B1C1D"/>
          <w:right w:val="none" w:sz="0" w:space="0" w:color="1B1C1D"/>
        </w:pBdr>
        <w:spacing w:beforeLines="50" w:before="120" w:beforeAutospacing="0" w:after="0" w:afterAutospacing="0" w:line="12" w:lineRule="atLeast"/>
        <w:ind w:left="720" w:hanging="720"/>
        <w:jc w:val="both"/>
        <w:rPr>
          <w:rFonts w:ascii="Calibri" w:eastAsia="sans-serif" w:hAnsi="Calibri" w:cs="Calibri"/>
          <w:color w:val="1B1C1D"/>
          <w:sz w:val="22"/>
          <w:szCs w:val="22"/>
        </w:rPr>
      </w:pPr>
      <w:proofErr w:type="spellStart"/>
      <w:r>
        <w:rPr>
          <w:rFonts w:ascii="Calibri" w:eastAsia="sans-serif" w:hAnsi="Calibri" w:cs="Calibri"/>
          <w:color w:val="1B1C1D"/>
          <w:sz w:val="22"/>
          <w:szCs w:val="22"/>
        </w:rPr>
        <w:t>Ramirez</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Mongui</w:t>
      </w:r>
      <w:proofErr w:type="spellEnd"/>
      <w:r>
        <w:rPr>
          <w:rFonts w:ascii="Calibri" w:eastAsia="sans-serif" w:hAnsi="Calibri" w:cs="Calibri"/>
          <w:color w:val="1B1C1D"/>
          <w:sz w:val="22"/>
          <w:szCs w:val="22"/>
        </w:rPr>
        <w:t xml:space="preserve">, J. de J., &amp; Dávila Arias, J. Y. (2022). Hacia el mantenimiento basado en condición de los dispositivos inteligentes en la industria 4.0. </w:t>
      </w:r>
      <w:r>
        <w:rPr>
          <w:rFonts w:ascii="Calibri" w:eastAsia="sans-serif" w:hAnsi="Calibri" w:cs="Calibri"/>
          <w:i/>
          <w:iCs/>
          <w:color w:val="1B1C1D"/>
          <w:sz w:val="22"/>
          <w:szCs w:val="22"/>
        </w:rPr>
        <w:t>Cimga.Com</w:t>
      </w:r>
      <w:r>
        <w:rPr>
          <w:rFonts w:ascii="Calibri" w:eastAsia="sans-serif" w:hAnsi="Calibri" w:cs="Calibri"/>
          <w:color w:val="1B1C1D"/>
          <w:sz w:val="22"/>
          <w:szCs w:val="22"/>
        </w:rPr>
        <w:t>.</w:t>
      </w:r>
    </w:p>
    <w:p w14:paraId="748878AC" w14:textId="77777777" w:rsidR="00726E42" w:rsidRDefault="00000000">
      <w:pPr>
        <w:pStyle w:val="NormalWeb"/>
        <w:pBdr>
          <w:top w:val="none" w:sz="0" w:space="0" w:color="1B1C1D"/>
          <w:left w:val="none" w:sz="0" w:space="0" w:color="1B1C1D"/>
          <w:bottom w:val="none" w:sz="0" w:space="0" w:color="1B1C1D"/>
          <w:right w:val="none" w:sz="0" w:space="0" w:color="1B1C1D"/>
        </w:pBdr>
        <w:spacing w:beforeLines="50" w:before="120" w:beforeAutospacing="0" w:after="0" w:afterAutospacing="0" w:line="12" w:lineRule="atLeast"/>
        <w:ind w:left="720" w:hanging="720"/>
        <w:jc w:val="both"/>
        <w:rPr>
          <w:rFonts w:ascii="Calibri" w:eastAsia="sans-serif" w:hAnsi="Calibri" w:cs="Calibri"/>
          <w:color w:val="1B1C1D"/>
          <w:sz w:val="22"/>
          <w:szCs w:val="22"/>
        </w:rPr>
      </w:pPr>
      <w:r>
        <w:rPr>
          <w:rFonts w:ascii="Calibri" w:eastAsia="sans-serif" w:hAnsi="Calibri" w:cs="Calibri"/>
          <w:color w:val="1B1C1D"/>
          <w:sz w:val="22"/>
          <w:szCs w:val="22"/>
        </w:rPr>
        <w:t xml:space="preserve">Roncal </w:t>
      </w:r>
      <w:proofErr w:type="spellStart"/>
      <w:r>
        <w:rPr>
          <w:rFonts w:ascii="Calibri" w:eastAsia="sans-serif" w:hAnsi="Calibri" w:cs="Calibri"/>
          <w:color w:val="1B1C1D"/>
          <w:sz w:val="22"/>
          <w:szCs w:val="22"/>
        </w:rPr>
        <w:t>Teran</w:t>
      </w:r>
      <w:proofErr w:type="spellEnd"/>
      <w:r>
        <w:rPr>
          <w:rFonts w:ascii="Calibri" w:eastAsia="sans-serif" w:hAnsi="Calibri" w:cs="Calibri"/>
          <w:color w:val="1B1C1D"/>
          <w:sz w:val="22"/>
          <w:szCs w:val="22"/>
        </w:rPr>
        <w:t>, Y. M., Sánchez Requejo, R. L., &amp; Leiva-</w:t>
      </w:r>
      <w:proofErr w:type="spellStart"/>
      <w:r>
        <w:rPr>
          <w:rFonts w:ascii="Calibri" w:eastAsia="sans-serif" w:hAnsi="Calibri" w:cs="Calibri"/>
          <w:color w:val="1B1C1D"/>
          <w:sz w:val="22"/>
          <w:szCs w:val="22"/>
        </w:rPr>
        <w:t>Colos</w:t>
      </w:r>
      <w:proofErr w:type="spellEnd"/>
      <w:r>
        <w:rPr>
          <w:rFonts w:ascii="Calibri" w:eastAsia="sans-serif" w:hAnsi="Calibri" w:cs="Calibri"/>
          <w:color w:val="1B1C1D"/>
          <w:sz w:val="22"/>
          <w:szCs w:val="22"/>
        </w:rPr>
        <w:t xml:space="preserve">, F. V. (2024). Optimismo y autoeficacia académica en estudiantes universitarios de Lima Metropolitana en un contexto de educación virtual. </w:t>
      </w:r>
      <w:r>
        <w:rPr>
          <w:rFonts w:ascii="Calibri" w:eastAsia="sans-serif" w:hAnsi="Calibri" w:cs="Calibri"/>
          <w:i/>
          <w:iCs/>
          <w:color w:val="1B1C1D"/>
          <w:sz w:val="22"/>
          <w:szCs w:val="22"/>
        </w:rPr>
        <w:t>ACADEMO Revista de Investigación En Ciencias Sociales y Humanidades</w:t>
      </w:r>
      <w:r>
        <w:rPr>
          <w:rFonts w:ascii="Calibri" w:eastAsia="sans-serif" w:hAnsi="Calibri" w:cs="Calibri"/>
          <w:color w:val="1B1C1D"/>
          <w:sz w:val="22"/>
          <w:szCs w:val="22"/>
        </w:rPr>
        <w:t xml:space="preserve">, </w:t>
      </w:r>
      <w:r>
        <w:rPr>
          <w:rFonts w:ascii="Calibri" w:eastAsia="sans-serif" w:hAnsi="Calibri" w:cs="Calibri"/>
          <w:i/>
          <w:iCs/>
          <w:color w:val="1B1C1D"/>
          <w:sz w:val="22"/>
          <w:szCs w:val="22"/>
        </w:rPr>
        <w:t>11</w:t>
      </w:r>
      <w:r>
        <w:rPr>
          <w:rFonts w:ascii="Calibri" w:eastAsia="sans-serif" w:hAnsi="Calibri" w:cs="Calibri"/>
          <w:color w:val="1B1C1D"/>
          <w:sz w:val="22"/>
          <w:szCs w:val="22"/>
        </w:rPr>
        <w:t xml:space="preserve">(1). </w:t>
      </w:r>
      <w:hyperlink r:id="rId34" w:tgtFrame="https://gemini.google.com/app/_blank" w:history="1">
        <w:r>
          <w:rPr>
            <w:rStyle w:val="Hipervnculo"/>
            <w:rFonts w:ascii="Calibri" w:eastAsia="sans-serif" w:hAnsi="Calibri" w:cs="Calibri"/>
            <w:color w:val="0B57D0"/>
            <w:sz w:val="22"/>
            <w:szCs w:val="22"/>
          </w:rPr>
          <w:t>https://doi.org/10.30545/academo.2024.ene-abr.2</w:t>
        </w:r>
      </w:hyperlink>
    </w:p>
    <w:p w14:paraId="328A6009" w14:textId="77777777" w:rsidR="00726E42" w:rsidRDefault="00000000">
      <w:pPr>
        <w:pStyle w:val="NormalWeb"/>
        <w:pBdr>
          <w:top w:val="none" w:sz="0" w:space="0" w:color="1B1C1D"/>
          <w:left w:val="none" w:sz="0" w:space="0" w:color="1B1C1D"/>
          <w:bottom w:val="none" w:sz="0" w:space="0" w:color="1B1C1D"/>
          <w:right w:val="none" w:sz="0" w:space="0" w:color="1B1C1D"/>
        </w:pBdr>
        <w:spacing w:beforeLines="50" w:before="120" w:beforeAutospacing="0" w:after="0" w:afterAutospacing="0" w:line="12" w:lineRule="atLeast"/>
        <w:ind w:left="720" w:hanging="720"/>
        <w:jc w:val="both"/>
        <w:rPr>
          <w:rFonts w:ascii="Calibri" w:eastAsia="sans-serif" w:hAnsi="Calibri" w:cs="Calibri"/>
          <w:color w:val="1B1C1D"/>
          <w:sz w:val="22"/>
          <w:szCs w:val="22"/>
        </w:rPr>
      </w:pPr>
      <w:r>
        <w:rPr>
          <w:rFonts w:ascii="Calibri" w:eastAsia="sans-serif" w:hAnsi="Calibri" w:cs="Calibri"/>
          <w:color w:val="1B1C1D"/>
          <w:sz w:val="22"/>
          <w:szCs w:val="22"/>
        </w:rPr>
        <w:t xml:space="preserve">Serna Loaiza, D. M., Rojas Berrio, S. P., &amp; Robayo Pinzón, </w:t>
      </w:r>
      <w:proofErr w:type="spellStart"/>
      <w:r>
        <w:rPr>
          <w:rFonts w:ascii="Calibri" w:eastAsia="sans-serif" w:hAnsi="Calibri" w:cs="Calibri"/>
          <w:color w:val="1B1C1D"/>
          <w:sz w:val="22"/>
          <w:szCs w:val="22"/>
        </w:rPr>
        <w:t>Ó</w:t>
      </w:r>
      <w:proofErr w:type="spellEnd"/>
      <w:r>
        <w:rPr>
          <w:rFonts w:ascii="Calibri" w:eastAsia="sans-serif" w:hAnsi="Calibri" w:cs="Calibri"/>
          <w:color w:val="1B1C1D"/>
          <w:sz w:val="22"/>
          <w:szCs w:val="22"/>
        </w:rPr>
        <w:t xml:space="preserve">. J. (2024). Valor percibido en instituciones de educación superior por parte de estudiantes de modalidad virtual. </w:t>
      </w:r>
      <w:r>
        <w:rPr>
          <w:rFonts w:ascii="Calibri" w:eastAsia="sans-serif" w:hAnsi="Calibri" w:cs="Calibri"/>
          <w:i/>
          <w:iCs/>
          <w:color w:val="1B1C1D"/>
          <w:sz w:val="22"/>
          <w:szCs w:val="22"/>
        </w:rPr>
        <w:t>Revista Científica Pensamiento y Gestión</w:t>
      </w:r>
      <w:r>
        <w:rPr>
          <w:rFonts w:ascii="Calibri" w:eastAsia="sans-serif" w:hAnsi="Calibri" w:cs="Calibri"/>
          <w:color w:val="1B1C1D"/>
          <w:sz w:val="22"/>
          <w:szCs w:val="22"/>
        </w:rPr>
        <w:t xml:space="preserve">, </w:t>
      </w:r>
      <w:r>
        <w:rPr>
          <w:rFonts w:ascii="Calibri" w:eastAsia="sans-serif" w:hAnsi="Calibri" w:cs="Calibri"/>
          <w:i/>
          <w:iCs/>
          <w:color w:val="1B1C1D"/>
          <w:sz w:val="22"/>
          <w:szCs w:val="22"/>
        </w:rPr>
        <w:t>46</w:t>
      </w:r>
      <w:r>
        <w:rPr>
          <w:rFonts w:ascii="Calibri" w:eastAsia="sans-serif" w:hAnsi="Calibri" w:cs="Calibri"/>
          <w:color w:val="1B1C1D"/>
          <w:sz w:val="22"/>
          <w:szCs w:val="22"/>
        </w:rPr>
        <w:t xml:space="preserve">. </w:t>
      </w:r>
      <w:hyperlink r:id="rId35" w:tgtFrame="https://gemini.google.com/app/_blank" w:history="1">
        <w:r>
          <w:rPr>
            <w:rStyle w:val="Hipervnculo"/>
            <w:rFonts w:ascii="Calibri" w:eastAsia="sans-serif" w:hAnsi="Calibri" w:cs="Calibri"/>
            <w:color w:val="0B57D0"/>
            <w:sz w:val="22"/>
            <w:szCs w:val="22"/>
          </w:rPr>
          <w:t>https://doi.org/10.14482/pege.46.1805</w:t>
        </w:r>
      </w:hyperlink>
    </w:p>
    <w:p w14:paraId="0193155C" w14:textId="77777777" w:rsidR="00726E42" w:rsidRDefault="00000000">
      <w:pPr>
        <w:pStyle w:val="NormalWeb"/>
        <w:pBdr>
          <w:top w:val="none" w:sz="0" w:space="0" w:color="1B1C1D"/>
          <w:left w:val="none" w:sz="0" w:space="0" w:color="1B1C1D"/>
          <w:bottom w:val="none" w:sz="0" w:space="0" w:color="1B1C1D"/>
          <w:right w:val="none" w:sz="0" w:space="0" w:color="1B1C1D"/>
        </w:pBdr>
        <w:spacing w:beforeLines="50" w:before="120" w:beforeAutospacing="0" w:after="0" w:afterAutospacing="0" w:line="12" w:lineRule="atLeast"/>
        <w:ind w:left="720" w:hanging="720"/>
        <w:jc w:val="both"/>
        <w:rPr>
          <w:rFonts w:ascii="Calibri" w:eastAsia="sans-serif" w:hAnsi="Calibri" w:cs="Calibri"/>
          <w:color w:val="1B1C1D"/>
          <w:sz w:val="22"/>
          <w:szCs w:val="22"/>
        </w:rPr>
      </w:pPr>
      <w:r>
        <w:rPr>
          <w:rFonts w:ascii="Calibri" w:eastAsia="sans-serif" w:hAnsi="Calibri" w:cs="Calibri"/>
          <w:color w:val="1B1C1D"/>
          <w:sz w:val="22"/>
          <w:szCs w:val="22"/>
        </w:rPr>
        <w:t xml:space="preserve">Serrano-García, J., Olmedo-Moreno, E. M., </w:t>
      </w:r>
      <w:proofErr w:type="spellStart"/>
      <w:r>
        <w:rPr>
          <w:rFonts w:ascii="Calibri" w:eastAsia="sans-serif" w:hAnsi="Calibri" w:cs="Calibri"/>
          <w:color w:val="1B1C1D"/>
          <w:sz w:val="22"/>
          <w:szCs w:val="22"/>
        </w:rPr>
        <w:t>Billah</w:t>
      </w:r>
      <w:proofErr w:type="spellEnd"/>
      <w:r>
        <w:rPr>
          <w:rFonts w:ascii="Calibri" w:eastAsia="sans-serif" w:hAnsi="Calibri" w:cs="Calibri"/>
          <w:color w:val="1B1C1D"/>
          <w:sz w:val="22"/>
          <w:szCs w:val="22"/>
        </w:rPr>
        <w:t xml:space="preserve">, F. Z. R. A., &amp; Expósito-López, J. (2025). Tutorial </w:t>
      </w:r>
      <w:proofErr w:type="spellStart"/>
      <w:r>
        <w:rPr>
          <w:rFonts w:ascii="Calibri" w:eastAsia="sans-serif" w:hAnsi="Calibri" w:cs="Calibri"/>
          <w:color w:val="1B1C1D"/>
          <w:sz w:val="22"/>
          <w:szCs w:val="22"/>
        </w:rPr>
        <w:t>action</w:t>
      </w:r>
      <w:proofErr w:type="spellEnd"/>
      <w:r>
        <w:rPr>
          <w:rFonts w:ascii="Calibri" w:eastAsia="sans-serif" w:hAnsi="Calibri" w:cs="Calibri"/>
          <w:color w:val="1B1C1D"/>
          <w:sz w:val="22"/>
          <w:szCs w:val="22"/>
        </w:rPr>
        <w:t xml:space="preserve"> in </w:t>
      </w:r>
      <w:proofErr w:type="spellStart"/>
      <w:r>
        <w:rPr>
          <w:rFonts w:ascii="Calibri" w:eastAsia="sans-serif" w:hAnsi="Calibri" w:cs="Calibri"/>
          <w:color w:val="1B1C1D"/>
          <w:sz w:val="22"/>
          <w:szCs w:val="22"/>
        </w:rPr>
        <w:t>primary</w:t>
      </w:r>
      <w:proofErr w:type="spellEnd"/>
      <w:r>
        <w:rPr>
          <w:rFonts w:ascii="Calibri" w:eastAsia="sans-serif" w:hAnsi="Calibri" w:cs="Calibri"/>
          <w:color w:val="1B1C1D"/>
          <w:sz w:val="22"/>
          <w:szCs w:val="22"/>
        </w:rPr>
        <w:t xml:space="preserve"> and </w:t>
      </w:r>
      <w:proofErr w:type="spellStart"/>
      <w:r>
        <w:rPr>
          <w:rFonts w:ascii="Calibri" w:eastAsia="sans-serif" w:hAnsi="Calibri" w:cs="Calibri"/>
          <w:color w:val="1B1C1D"/>
          <w:sz w:val="22"/>
          <w:szCs w:val="22"/>
        </w:rPr>
        <w:t>secondary</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education</w:t>
      </w:r>
      <w:proofErr w:type="spellEnd"/>
      <w:r>
        <w:rPr>
          <w:rFonts w:ascii="Calibri" w:eastAsia="sans-serif" w:hAnsi="Calibri" w:cs="Calibri"/>
          <w:color w:val="1B1C1D"/>
          <w:sz w:val="22"/>
          <w:szCs w:val="22"/>
        </w:rPr>
        <w:t xml:space="preserve">: A </w:t>
      </w:r>
      <w:proofErr w:type="spellStart"/>
      <w:r>
        <w:rPr>
          <w:rFonts w:ascii="Calibri" w:eastAsia="sans-serif" w:hAnsi="Calibri" w:cs="Calibri"/>
          <w:color w:val="1B1C1D"/>
          <w:sz w:val="22"/>
          <w:szCs w:val="22"/>
        </w:rPr>
        <w:t>scientometric</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study</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for</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the</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period</w:t>
      </w:r>
      <w:proofErr w:type="spellEnd"/>
      <w:r>
        <w:rPr>
          <w:rFonts w:ascii="Calibri" w:eastAsia="sans-serif" w:hAnsi="Calibri" w:cs="Calibri"/>
          <w:color w:val="1B1C1D"/>
          <w:sz w:val="22"/>
          <w:szCs w:val="22"/>
        </w:rPr>
        <w:t xml:space="preserve"> 2014 </w:t>
      </w:r>
      <w:proofErr w:type="spellStart"/>
      <w:r>
        <w:rPr>
          <w:rFonts w:ascii="Calibri" w:eastAsia="sans-serif" w:hAnsi="Calibri" w:cs="Calibri"/>
          <w:color w:val="1B1C1D"/>
          <w:sz w:val="22"/>
          <w:szCs w:val="22"/>
        </w:rPr>
        <w:t>to</w:t>
      </w:r>
      <w:proofErr w:type="spellEnd"/>
      <w:r>
        <w:rPr>
          <w:rFonts w:ascii="Calibri" w:eastAsia="sans-serif" w:hAnsi="Calibri" w:cs="Calibri"/>
          <w:color w:val="1B1C1D"/>
          <w:sz w:val="22"/>
          <w:szCs w:val="22"/>
        </w:rPr>
        <w:t xml:space="preserve"> 2024. </w:t>
      </w:r>
      <w:r>
        <w:rPr>
          <w:rFonts w:ascii="Calibri" w:eastAsia="sans-serif" w:hAnsi="Calibri" w:cs="Calibri"/>
          <w:i/>
          <w:iCs/>
          <w:color w:val="1B1C1D"/>
          <w:sz w:val="22"/>
          <w:szCs w:val="22"/>
        </w:rPr>
        <w:t xml:space="preserve">International </w:t>
      </w:r>
      <w:proofErr w:type="spellStart"/>
      <w:r>
        <w:rPr>
          <w:rFonts w:ascii="Calibri" w:eastAsia="sans-serif" w:hAnsi="Calibri" w:cs="Calibri"/>
          <w:i/>
          <w:iCs/>
          <w:color w:val="1B1C1D"/>
          <w:sz w:val="22"/>
          <w:szCs w:val="22"/>
        </w:rPr>
        <w:lastRenderedPageBreak/>
        <w:t>Journal</w:t>
      </w:r>
      <w:proofErr w:type="spellEnd"/>
      <w:r>
        <w:rPr>
          <w:rFonts w:ascii="Calibri" w:eastAsia="sans-serif" w:hAnsi="Calibri" w:cs="Calibri"/>
          <w:i/>
          <w:iCs/>
          <w:color w:val="1B1C1D"/>
          <w:sz w:val="22"/>
          <w:szCs w:val="22"/>
        </w:rPr>
        <w:t xml:space="preserve"> </w:t>
      </w:r>
      <w:proofErr w:type="spellStart"/>
      <w:r>
        <w:rPr>
          <w:rFonts w:ascii="Calibri" w:eastAsia="sans-serif" w:hAnsi="Calibri" w:cs="Calibri"/>
          <w:i/>
          <w:iCs/>
          <w:color w:val="1B1C1D"/>
          <w:sz w:val="22"/>
          <w:szCs w:val="22"/>
        </w:rPr>
        <w:t>of</w:t>
      </w:r>
      <w:proofErr w:type="spellEnd"/>
      <w:r>
        <w:rPr>
          <w:rFonts w:ascii="Calibri" w:eastAsia="sans-serif" w:hAnsi="Calibri" w:cs="Calibri"/>
          <w:i/>
          <w:iCs/>
          <w:color w:val="1B1C1D"/>
          <w:sz w:val="22"/>
          <w:szCs w:val="22"/>
        </w:rPr>
        <w:t xml:space="preserve"> </w:t>
      </w:r>
      <w:proofErr w:type="spellStart"/>
      <w:r>
        <w:rPr>
          <w:rFonts w:ascii="Calibri" w:eastAsia="sans-serif" w:hAnsi="Calibri" w:cs="Calibri"/>
          <w:i/>
          <w:iCs/>
          <w:color w:val="1B1C1D"/>
          <w:sz w:val="22"/>
          <w:szCs w:val="22"/>
        </w:rPr>
        <w:t>Learning</w:t>
      </w:r>
      <w:proofErr w:type="spellEnd"/>
      <w:r>
        <w:rPr>
          <w:rFonts w:ascii="Calibri" w:eastAsia="sans-serif" w:hAnsi="Calibri" w:cs="Calibri"/>
          <w:i/>
          <w:iCs/>
          <w:color w:val="1B1C1D"/>
          <w:sz w:val="22"/>
          <w:szCs w:val="22"/>
        </w:rPr>
        <w:t xml:space="preserve"> in </w:t>
      </w:r>
      <w:proofErr w:type="spellStart"/>
      <w:r>
        <w:rPr>
          <w:rFonts w:ascii="Calibri" w:eastAsia="sans-serif" w:hAnsi="Calibri" w:cs="Calibri"/>
          <w:i/>
          <w:iCs/>
          <w:color w:val="1B1C1D"/>
          <w:sz w:val="22"/>
          <w:szCs w:val="22"/>
        </w:rPr>
        <w:t>Higher</w:t>
      </w:r>
      <w:proofErr w:type="spellEnd"/>
      <w:r>
        <w:rPr>
          <w:rFonts w:ascii="Calibri" w:eastAsia="sans-serif" w:hAnsi="Calibri" w:cs="Calibri"/>
          <w:i/>
          <w:iCs/>
          <w:color w:val="1B1C1D"/>
          <w:sz w:val="22"/>
          <w:szCs w:val="22"/>
        </w:rPr>
        <w:t xml:space="preserve"> </w:t>
      </w:r>
      <w:proofErr w:type="spellStart"/>
      <w:r>
        <w:rPr>
          <w:rFonts w:ascii="Calibri" w:eastAsia="sans-serif" w:hAnsi="Calibri" w:cs="Calibri"/>
          <w:i/>
          <w:iCs/>
          <w:color w:val="1B1C1D"/>
          <w:sz w:val="22"/>
          <w:szCs w:val="22"/>
        </w:rPr>
        <w:t>Education</w:t>
      </w:r>
      <w:proofErr w:type="spellEnd"/>
      <w:r>
        <w:rPr>
          <w:rFonts w:ascii="Calibri" w:eastAsia="sans-serif" w:hAnsi="Calibri" w:cs="Calibri"/>
          <w:color w:val="1B1C1D"/>
          <w:sz w:val="22"/>
          <w:szCs w:val="22"/>
        </w:rPr>
        <w:t xml:space="preserve">, </w:t>
      </w:r>
      <w:r>
        <w:rPr>
          <w:rFonts w:ascii="Calibri" w:eastAsia="sans-serif" w:hAnsi="Calibri" w:cs="Calibri"/>
          <w:i/>
          <w:iCs/>
          <w:color w:val="1B1C1D"/>
          <w:sz w:val="22"/>
          <w:szCs w:val="22"/>
        </w:rPr>
        <w:t>32</w:t>
      </w:r>
      <w:r>
        <w:rPr>
          <w:rFonts w:ascii="Calibri" w:eastAsia="sans-serif" w:hAnsi="Calibri" w:cs="Calibri"/>
          <w:color w:val="1B1C1D"/>
          <w:sz w:val="22"/>
          <w:szCs w:val="22"/>
        </w:rPr>
        <w:t xml:space="preserve">(1), 55–79. </w:t>
      </w:r>
      <w:hyperlink r:id="rId36" w:tgtFrame="https://gemini.google.com/app/_blank" w:history="1">
        <w:r>
          <w:rPr>
            <w:rStyle w:val="Hipervnculo"/>
            <w:rFonts w:ascii="Calibri" w:eastAsia="sans-serif" w:hAnsi="Calibri" w:cs="Calibri"/>
            <w:color w:val="0B57D0"/>
            <w:sz w:val="22"/>
            <w:szCs w:val="22"/>
          </w:rPr>
          <w:t>https://doi.org/10.18848/2327-7955/CGP/v32i01/55-79</w:t>
        </w:r>
      </w:hyperlink>
    </w:p>
    <w:p w14:paraId="02A726F8" w14:textId="77777777" w:rsidR="00726E42" w:rsidRDefault="00000000">
      <w:pPr>
        <w:pStyle w:val="NormalWeb"/>
        <w:pBdr>
          <w:top w:val="none" w:sz="0" w:space="0" w:color="1B1C1D"/>
          <w:left w:val="none" w:sz="0" w:space="0" w:color="1B1C1D"/>
          <w:bottom w:val="none" w:sz="0" w:space="0" w:color="1B1C1D"/>
          <w:right w:val="none" w:sz="0" w:space="0" w:color="1B1C1D"/>
        </w:pBdr>
        <w:spacing w:beforeLines="50" w:before="120" w:beforeAutospacing="0" w:after="0" w:afterAutospacing="0" w:line="12" w:lineRule="atLeast"/>
        <w:ind w:left="720" w:hanging="720"/>
        <w:jc w:val="both"/>
        <w:rPr>
          <w:rFonts w:ascii="Calibri" w:eastAsia="sans-serif" w:hAnsi="Calibri" w:cs="Calibri"/>
          <w:color w:val="1B1C1D"/>
          <w:sz w:val="22"/>
          <w:szCs w:val="22"/>
        </w:rPr>
      </w:pPr>
      <w:r>
        <w:rPr>
          <w:rFonts w:ascii="Calibri" w:eastAsia="sans-serif" w:hAnsi="Calibri" w:cs="Calibri"/>
          <w:color w:val="1B1C1D"/>
          <w:sz w:val="22"/>
          <w:szCs w:val="22"/>
        </w:rPr>
        <w:t xml:space="preserve">Soria-Barreto, K., </w:t>
      </w:r>
      <w:proofErr w:type="spellStart"/>
      <w:r>
        <w:rPr>
          <w:rFonts w:ascii="Calibri" w:eastAsia="sans-serif" w:hAnsi="Calibri" w:cs="Calibri"/>
          <w:color w:val="1B1C1D"/>
          <w:sz w:val="22"/>
          <w:szCs w:val="22"/>
        </w:rPr>
        <w:t>Zuniga</w:t>
      </w:r>
      <w:proofErr w:type="spellEnd"/>
      <w:r>
        <w:rPr>
          <w:rFonts w:ascii="Calibri" w:eastAsia="sans-serif" w:hAnsi="Calibri" w:cs="Calibri"/>
          <w:color w:val="1B1C1D"/>
          <w:sz w:val="22"/>
          <w:szCs w:val="22"/>
        </w:rPr>
        <w:t xml:space="preserve">-Jara, S., Jaque-Silva, D., &amp; </w:t>
      </w:r>
      <w:proofErr w:type="spellStart"/>
      <w:r>
        <w:rPr>
          <w:rFonts w:ascii="Calibri" w:eastAsia="sans-serif" w:hAnsi="Calibri" w:cs="Calibri"/>
          <w:color w:val="1B1C1D"/>
          <w:sz w:val="22"/>
          <w:szCs w:val="22"/>
        </w:rPr>
        <w:t>Bortolotti-Nardon</w:t>
      </w:r>
      <w:proofErr w:type="spellEnd"/>
      <w:r>
        <w:rPr>
          <w:rFonts w:ascii="Calibri" w:eastAsia="sans-serif" w:hAnsi="Calibri" w:cs="Calibri"/>
          <w:color w:val="1B1C1D"/>
          <w:sz w:val="22"/>
          <w:szCs w:val="22"/>
        </w:rPr>
        <w:t xml:space="preserve">, C. (2024). </w:t>
      </w:r>
      <w:proofErr w:type="spellStart"/>
      <w:r>
        <w:rPr>
          <w:rFonts w:ascii="Calibri" w:eastAsia="sans-serif" w:hAnsi="Calibri" w:cs="Calibri"/>
          <w:color w:val="1B1C1D"/>
          <w:sz w:val="22"/>
          <w:szCs w:val="22"/>
        </w:rPr>
        <w:t>Academic</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engagement</w:t>
      </w:r>
      <w:proofErr w:type="spellEnd"/>
      <w:r>
        <w:rPr>
          <w:rFonts w:ascii="Calibri" w:eastAsia="sans-serif" w:hAnsi="Calibri" w:cs="Calibri"/>
          <w:color w:val="1B1C1D"/>
          <w:sz w:val="22"/>
          <w:szCs w:val="22"/>
        </w:rPr>
        <w:t xml:space="preserve"> as a </w:t>
      </w:r>
      <w:proofErr w:type="spellStart"/>
      <w:r>
        <w:rPr>
          <w:rFonts w:ascii="Calibri" w:eastAsia="sans-serif" w:hAnsi="Calibri" w:cs="Calibri"/>
          <w:color w:val="1B1C1D"/>
          <w:sz w:val="22"/>
          <w:szCs w:val="22"/>
        </w:rPr>
        <w:t>determinant</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of</w:t>
      </w:r>
      <w:proofErr w:type="spellEnd"/>
      <w:r>
        <w:rPr>
          <w:rFonts w:ascii="Calibri" w:eastAsia="sans-serif" w:hAnsi="Calibri" w:cs="Calibri"/>
          <w:color w:val="1B1C1D"/>
          <w:sz w:val="22"/>
          <w:szCs w:val="22"/>
        </w:rPr>
        <w:t xml:space="preserve"> performance and </w:t>
      </w:r>
      <w:proofErr w:type="spellStart"/>
      <w:r>
        <w:rPr>
          <w:rFonts w:ascii="Calibri" w:eastAsia="sans-serif" w:hAnsi="Calibri" w:cs="Calibri"/>
          <w:color w:val="1B1C1D"/>
          <w:sz w:val="22"/>
          <w:szCs w:val="22"/>
        </w:rPr>
        <w:t>satisfaction</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among</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university</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students</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of</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commercial</w:t>
      </w:r>
      <w:proofErr w:type="spellEnd"/>
      <w:r>
        <w:rPr>
          <w:rFonts w:ascii="Calibri" w:eastAsia="sans-serif" w:hAnsi="Calibri" w:cs="Calibri"/>
          <w:color w:val="1B1C1D"/>
          <w:sz w:val="22"/>
          <w:szCs w:val="22"/>
        </w:rPr>
        <w:t xml:space="preserve"> </w:t>
      </w:r>
      <w:proofErr w:type="spellStart"/>
      <w:r>
        <w:rPr>
          <w:rFonts w:ascii="Calibri" w:eastAsia="sans-serif" w:hAnsi="Calibri" w:cs="Calibri"/>
          <w:color w:val="1B1C1D"/>
          <w:sz w:val="22"/>
          <w:szCs w:val="22"/>
        </w:rPr>
        <w:t>engineering</w:t>
      </w:r>
      <w:proofErr w:type="spellEnd"/>
      <w:r>
        <w:rPr>
          <w:rFonts w:ascii="Calibri" w:eastAsia="sans-serif" w:hAnsi="Calibri" w:cs="Calibri"/>
          <w:color w:val="1B1C1D"/>
          <w:sz w:val="22"/>
          <w:szCs w:val="22"/>
        </w:rPr>
        <w:t xml:space="preserve">. </w:t>
      </w:r>
      <w:proofErr w:type="spellStart"/>
      <w:r>
        <w:rPr>
          <w:rFonts w:ascii="Calibri" w:eastAsia="sans-serif" w:hAnsi="Calibri" w:cs="Calibri"/>
          <w:i/>
          <w:iCs/>
          <w:color w:val="1B1C1D"/>
          <w:sz w:val="22"/>
          <w:szCs w:val="22"/>
        </w:rPr>
        <w:t>Formacion</w:t>
      </w:r>
      <w:proofErr w:type="spellEnd"/>
      <w:r>
        <w:rPr>
          <w:rFonts w:ascii="Calibri" w:eastAsia="sans-serif" w:hAnsi="Calibri" w:cs="Calibri"/>
          <w:i/>
          <w:iCs/>
          <w:color w:val="1B1C1D"/>
          <w:sz w:val="22"/>
          <w:szCs w:val="22"/>
        </w:rPr>
        <w:t xml:space="preserve"> Universitaria</w:t>
      </w:r>
      <w:r>
        <w:rPr>
          <w:rFonts w:ascii="Calibri" w:eastAsia="sans-serif" w:hAnsi="Calibri" w:cs="Calibri"/>
          <w:color w:val="1B1C1D"/>
          <w:sz w:val="22"/>
          <w:szCs w:val="22"/>
        </w:rPr>
        <w:t xml:space="preserve">, </w:t>
      </w:r>
      <w:r>
        <w:rPr>
          <w:rFonts w:ascii="Calibri" w:eastAsia="sans-serif" w:hAnsi="Calibri" w:cs="Calibri"/>
          <w:i/>
          <w:iCs/>
          <w:color w:val="1B1C1D"/>
          <w:sz w:val="22"/>
          <w:szCs w:val="22"/>
        </w:rPr>
        <w:t>17</w:t>
      </w:r>
      <w:r>
        <w:rPr>
          <w:rFonts w:ascii="Calibri" w:eastAsia="sans-serif" w:hAnsi="Calibri" w:cs="Calibri"/>
          <w:color w:val="1B1C1D"/>
          <w:sz w:val="22"/>
          <w:szCs w:val="22"/>
        </w:rPr>
        <w:t xml:space="preserve">(6), 89–98. </w:t>
      </w:r>
      <w:hyperlink r:id="rId37" w:tgtFrame="https://gemini.google.com/app/_blank" w:history="1">
        <w:r>
          <w:rPr>
            <w:rStyle w:val="Hipervnculo"/>
            <w:rFonts w:ascii="Calibri" w:eastAsia="sans-serif" w:hAnsi="Calibri" w:cs="Calibri"/>
            <w:color w:val="0B57D0"/>
            <w:sz w:val="22"/>
            <w:szCs w:val="22"/>
          </w:rPr>
          <w:t>https://doi.org/10.4067/S0718-50062024000600089</w:t>
        </w:r>
      </w:hyperlink>
    </w:p>
    <w:p w14:paraId="618EA294" w14:textId="77777777" w:rsidR="00726E42" w:rsidRDefault="00000000">
      <w:pPr>
        <w:pStyle w:val="NormalWeb"/>
        <w:pBdr>
          <w:top w:val="none" w:sz="0" w:space="0" w:color="1B1C1D"/>
          <w:left w:val="none" w:sz="0" w:space="0" w:color="1B1C1D"/>
          <w:bottom w:val="none" w:sz="0" w:space="0" w:color="1B1C1D"/>
          <w:right w:val="none" w:sz="0" w:space="0" w:color="1B1C1D"/>
        </w:pBdr>
        <w:spacing w:beforeLines="50" w:before="120" w:beforeAutospacing="0" w:after="0" w:afterAutospacing="0" w:line="12" w:lineRule="atLeast"/>
        <w:ind w:left="720" w:hanging="720"/>
        <w:jc w:val="both"/>
        <w:rPr>
          <w:rFonts w:ascii="Calibri" w:eastAsia="sans-serif" w:hAnsi="Calibri" w:cs="Calibri"/>
          <w:color w:val="1B1C1D"/>
          <w:sz w:val="22"/>
          <w:szCs w:val="22"/>
          <w:lang w:val="pt-BR"/>
        </w:rPr>
      </w:pPr>
      <w:r>
        <w:rPr>
          <w:rFonts w:ascii="Calibri" w:eastAsia="sans-serif" w:hAnsi="Calibri" w:cs="Calibri"/>
          <w:color w:val="1B1C1D"/>
          <w:sz w:val="22"/>
          <w:szCs w:val="22"/>
        </w:rPr>
        <w:t xml:space="preserve">Toapanta </w:t>
      </w:r>
      <w:proofErr w:type="spellStart"/>
      <w:r>
        <w:rPr>
          <w:rFonts w:ascii="Calibri" w:eastAsia="sans-serif" w:hAnsi="Calibri" w:cs="Calibri"/>
          <w:color w:val="1B1C1D"/>
          <w:sz w:val="22"/>
          <w:szCs w:val="22"/>
        </w:rPr>
        <w:t>Pullutasig</w:t>
      </w:r>
      <w:proofErr w:type="spellEnd"/>
      <w:r>
        <w:rPr>
          <w:rFonts w:ascii="Calibri" w:eastAsia="sans-serif" w:hAnsi="Calibri" w:cs="Calibri"/>
          <w:color w:val="1B1C1D"/>
          <w:sz w:val="22"/>
          <w:szCs w:val="22"/>
        </w:rPr>
        <w:t xml:space="preserve">, I., Espinales Casanova, L. A., Farinango Vinueza, G. A., Molina Ormaza, G. N., &amp; García Vinces, P. D. (2024). Satisfacción de la enseñanza mediante la modalidad virtual vs presencial en los estudiantes de la carrera de medicina en tiempos de SARS-CoV-2. </w:t>
      </w:r>
      <w:r>
        <w:rPr>
          <w:rFonts w:ascii="Calibri" w:eastAsia="sans-serif" w:hAnsi="Calibri" w:cs="Calibri"/>
          <w:i/>
          <w:iCs/>
          <w:color w:val="1B1C1D"/>
          <w:sz w:val="22"/>
          <w:szCs w:val="22"/>
        </w:rPr>
        <w:t>Anatomía Digital</w:t>
      </w:r>
      <w:r>
        <w:rPr>
          <w:rFonts w:ascii="Calibri" w:eastAsia="sans-serif" w:hAnsi="Calibri" w:cs="Calibri"/>
          <w:color w:val="1B1C1D"/>
          <w:sz w:val="22"/>
          <w:szCs w:val="22"/>
        </w:rPr>
        <w:t xml:space="preserve">, </w:t>
      </w:r>
      <w:r>
        <w:rPr>
          <w:rFonts w:ascii="Calibri" w:eastAsia="sans-serif" w:hAnsi="Calibri" w:cs="Calibri"/>
          <w:i/>
          <w:iCs/>
          <w:color w:val="1B1C1D"/>
          <w:sz w:val="22"/>
          <w:szCs w:val="22"/>
        </w:rPr>
        <w:t>7</w:t>
      </w:r>
      <w:r>
        <w:rPr>
          <w:rFonts w:ascii="Calibri" w:eastAsia="sans-serif" w:hAnsi="Calibri" w:cs="Calibri"/>
          <w:color w:val="1B1C1D"/>
          <w:sz w:val="22"/>
          <w:szCs w:val="22"/>
        </w:rPr>
        <w:t xml:space="preserve">(1). </w:t>
      </w:r>
      <w:hyperlink r:id="rId38" w:tgtFrame="https://gemini.google.com/app/_blank" w:history="1">
        <w:r>
          <w:rPr>
            <w:rStyle w:val="Hipervnculo"/>
            <w:rFonts w:ascii="Calibri" w:eastAsia="sans-serif" w:hAnsi="Calibri" w:cs="Calibri"/>
            <w:color w:val="0B57D0"/>
            <w:sz w:val="22"/>
            <w:szCs w:val="22"/>
          </w:rPr>
          <w:t>https://doi.org/10.33262/anatomiadigital.v7i1.2843</w:t>
        </w:r>
      </w:hyperlink>
    </w:p>
    <w:sectPr w:rsidR="00726E42">
      <w:headerReference w:type="default" r:id="rId39"/>
      <w:footerReference w:type="default" r:id="rId40"/>
      <w:headerReference w:type="first" r:id="rId41"/>
      <w:footerReference w:type="first" r:id="rId42"/>
      <w:pgSz w:w="12240" w:h="15840"/>
      <w:pgMar w:top="360" w:right="1418" w:bottom="990" w:left="1418" w:header="709" w:footer="39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A0A2A" w14:textId="77777777" w:rsidR="004E6990" w:rsidRDefault="004E6990">
      <w:pPr>
        <w:spacing w:line="240" w:lineRule="auto"/>
      </w:pPr>
      <w:r>
        <w:separator/>
      </w:r>
    </w:p>
  </w:endnote>
  <w:endnote w:type="continuationSeparator" w:id="0">
    <w:p w14:paraId="39A536DB" w14:textId="77777777" w:rsidR="004E6990" w:rsidRDefault="004E69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default"/>
    <w:sig w:usb0="E1002EFF" w:usb1="C000605B" w:usb2="00000029" w:usb3="00000000" w:csb0="200101FF" w:csb1="20280000"/>
  </w:font>
  <w:font w:name="Nunito">
    <w:altName w:val="Segoe Print"/>
    <w:charset w:val="4D"/>
    <w:family w:val="auto"/>
    <w:pitch w:val="default"/>
    <w:sig w:usb0="00000000" w:usb1="00000000" w:usb2="00000000" w:usb3="00000000" w:csb0="00000197"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1E773" w14:textId="77777777" w:rsidR="00726E42" w:rsidRDefault="00000000">
    <w:pPr>
      <w:pStyle w:val="Piedepgina"/>
      <w:tabs>
        <w:tab w:val="clear" w:pos="4419"/>
        <w:tab w:val="clear" w:pos="8838"/>
        <w:tab w:val="center" w:pos="4702"/>
      </w:tabs>
    </w:pPr>
    <w:r>
      <w:rPr>
        <w:noProof/>
      </w:rPr>
      <mc:AlternateContent>
        <mc:Choice Requires="wps">
          <w:drawing>
            <wp:anchor distT="0" distB="0" distL="114300" distR="114300" simplePos="0" relativeHeight="251663360" behindDoc="0" locked="0" layoutInCell="1" allowOverlap="1" wp14:anchorId="4EED0D9A" wp14:editId="772F9BB1">
              <wp:simplePos x="0" y="0"/>
              <wp:positionH relativeFrom="column">
                <wp:posOffset>0</wp:posOffset>
              </wp:positionH>
              <wp:positionV relativeFrom="paragraph">
                <wp:posOffset>104775</wp:posOffset>
              </wp:positionV>
              <wp:extent cx="5966460" cy="0"/>
              <wp:effectExtent l="0" t="5080" r="0" b="4445"/>
              <wp:wrapNone/>
              <wp:docPr id="19" name="Conector recto 17"/>
              <wp:cNvGraphicFramePr/>
              <a:graphic xmlns:a="http://schemas.openxmlformats.org/drawingml/2006/main">
                <a:graphicData uri="http://schemas.microsoft.com/office/word/2010/wordprocessingShape">
                  <wps:wsp>
                    <wps:cNvCnPr/>
                    <wps:spPr>
                      <a:xfrm>
                        <a:off x="0" y="0"/>
                        <a:ext cx="59664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Conector recto 17" o:spid="_x0000_s1026" o:spt="20" style="position:absolute;left:0pt;margin-left:0pt;margin-top:8.25pt;height:0pt;width:469.8pt;z-index:251663360;mso-width-relative:page;mso-height-relative:page;" filled="f" stroked="t" coordsize="21600,21600" o:gfxdata="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mBAjzWAAAABgEA&#10;AA8AAAAAAAAAAQAgAAAAIgAAAGRycy9kb3ducmV2LnhtbFBLAQIUABQAAAAIAIdO4kBpKEIN4wEA&#10;ANQDAAAOAAAAAAAAAAEAIAAAACUBAABkcnMvZTJvRG9jLnhtbFBLBQYAAAAABgAGAFkBAAB6BQAA&#10;AAA=&#10;">
              <v:fill on="f" focussize="0,0"/>
              <v:stroke color="#4A7EBB [3204]" joinstyle="round"/>
              <v:imagedata o:title=""/>
              <o:lock v:ext="edit" aspectratio="f"/>
            </v:line>
          </w:pict>
        </mc:Fallback>
      </mc:AlternateContent>
    </w:r>
    <w:r>
      <w:rPr>
        <w:noProof/>
      </w:rPr>
      <mc:AlternateContent>
        <mc:Choice Requires="wps">
          <w:drawing>
            <wp:anchor distT="0" distB="0" distL="114300" distR="114300" simplePos="0" relativeHeight="251664384" behindDoc="0" locked="0" layoutInCell="0" allowOverlap="1" wp14:anchorId="7874D1D4" wp14:editId="34A2AE06">
              <wp:simplePos x="0" y="0"/>
              <wp:positionH relativeFrom="page">
                <wp:posOffset>6526530</wp:posOffset>
              </wp:positionH>
              <wp:positionV relativeFrom="bottomMargin">
                <wp:posOffset>156210</wp:posOffset>
              </wp:positionV>
              <wp:extent cx="323850" cy="323850"/>
              <wp:effectExtent l="0" t="0" r="11430" b="11430"/>
              <wp:wrapNone/>
              <wp:docPr id="20" name="Elips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850"/>
                      </a:xfrm>
                      <a:prstGeom prst="ellipse">
                        <a:avLst/>
                      </a:prstGeom>
                      <a:solidFill>
                        <a:srgbClr val="00CD23"/>
                      </a:solidFill>
                      <a:ln>
                        <a:noFill/>
                      </a:ln>
                    </wps:spPr>
                    <wps:txbx>
                      <w:txbxContent>
                        <w:p w14:paraId="6AAF5489" w14:textId="77777777" w:rsidR="00726E42" w:rsidRDefault="00000000">
                          <w:pPr>
                            <w:jc w:val="center"/>
                            <w:rPr>
                              <w:rStyle w:val="Nmerodepgina"/>
                              <w:color w:val="FFFFFF" w:themeColor="background1"/>
                              <w:sz w:val="20"/>
                              <w:szCs w:val="24"/>
                            </w:rPr>
                          </w:pPr>
                          <w:r>
                            <w:rPr>
                              <w:sz w:val="20"/>
                            </w:rPr>
                            <w:fldChar w:fldCharType="begin"/>
                          </w:r>
                          <w:r>
                            <w:rPr>
                              <w:sz w:val="20"/>
                            </w:rPr>
                            <w:instrText>PAGE    \* MERGEFORMAT</w:instrText>
                          </w:r>
                          <w:r>
                            <w:rPr>
                              <w:sz w:val="20"/>
                            </w:rPr>
                            <w:fldChar w:fldCharType="separate"/>
                          </w:r>
                          <w:r>
                            <w:rPr>
                              <w:rStyle w:val="Nmerodepgina"/>
                              <w:b/>
                              <w:bCs/>
                              <w:color w:val="FFFFFF" w:themeColor="background1"/>
                              <w:szCs w:val="24"/>
                              <w:lang w:val="es-ES"/>
                            </w:rPr>
                            <w:t>9</w:t>
                          </w:r>
                          <w:r>
                            <w:rPr>
                              <w:rStyle w:val="Nmerodepgina"/>
                              <w:b/>
                              <w:bCs/>
                              <w:color w:val="FFFFFF" w:themeColor="background1"/>
                              <w:szCs w:val="24"/>
                            </w:rPr>
                            <w:fldChar w:fldCharType="end"/>
                          </w:r>
                        </w:p>
                      </w:txbxContent>
                    </wps:txbx>
                    <wps:bodyPr rot="0" vert="horz" wrap="square" lIns="0" tIns="45720" rIns="0" bIns="45720" anchor="t" anchorCtr="0" upright="1">
                      <a:noAutofit/>
                    </wps:bodyPr>
                  </wps:wsp>
                </a:graphicData>
              </a:graphic>
            </wp:anchor>
          </w:drawing>
        </mc:Choice>
        <mc:Fallback>
          <w:pict>
            <v:oval w14:anchorId="7874D1D4" id="Elipse 15" o:spid="_x0000_s1026" style="position:absolute;margin-left:513.9pt;margin-top:12.3pt;width:25.5pt;height:25.5pt;z-index:251664384;visibility:visible;mso-wrap-style:square;mso-wrap-distance-left:9pt;mso-wrap-distance-top:0;mso-wrap-distance-right:9pt;mso-wrap-distance-bottom:0;mso-position-horizontal:absolute;mso-position-horizontal-relative:page;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" o:allowincell="f" fillcolor="#00cd23" stroked="f">
              <v:textbox inset="0,,0">
                <w:txbxContent>
                  <w:p w14:paraId="6AAF5489" w14:textId="77777777" w:rsidR="00726E42" w:rsidRDefault="00000000">
                    <w:pPr>
                      <w:jc w:val="center"/>
                      <w:rPr>
                        <w:rStyle w:val="Nmerodepgina"/>
                        <w:color w:val="FFFFFF" w:themeColor="background1"/>
                        <w:sz w:val="20"/>
                        <w:szCs w:val="24"/>
                      </w:rPr>
                    </w:pPr>
                    <w:r>
                      <w:rPr>
                        <w:sz w:val="20"/>
                      </w:rPr>
                      <w:fldChar w:fldCharType="begin"/>
                    </w:r>
                    <w:r>
                      <w:rPr>
                        <w:sz w:val="20"/>
                      </w:rPr>
                      <w:instrText>PAGE    \* MERGEFORMAT</w:instrText>
                    </w:r>
                    <w:r>
                      <w:rPr>
                        <w:sz w:val="20"/>
                      </w:rPr>
                      <w:fldChar w:fldCharType="separate"/>
                    </w:r>
                    <w:r>
                      <w:rPr>
                        <w:rStyle w:val="Nmerodepgina"/>
                        <w:b/>
                        <w:bCs/>
                        <w:color w:val="FFFFFF" w:themeColor="background1"/>
                        <w:szCs w:val="24"/>
                        <w:lang w:val="es-ES"/>
                      </w:rPr>
                      <w:t>9</w:t>
                    </w:r>
                    <w:r>
                      <w:rPr>
                        <w:rStyle w:val="Nmerodepgina"/>
                        <w:b/>
                        <w:bCs/>
                        <w:color w:val="FFFFFF" w:themeColor="background1"/>
                        <w:szCs w:val="24"/>
                      </w:rPr>
                      <w:fldChar w:fldCharType="end"/>
                    </w:r>
                  </w:p>
                </w:txbxContent>
              </v:textbox>
              <w10:wrap anchorx="page" anchory="margin"/>
            </v:oval>
          </w:pict>
        </mc:Fallback>
      </mc:AlternateContent>
    </w:r>
  </w:p>
  <w:p w14:paraId="1619172C" w14:textId="77777777" w:rsidR="00726E42" w:rsidRDefault="00000000">
    <w:pPr>
      <w:tabs>
        <w:tab w:val="center" w:pos="4419"/>
        <w:tab w:val="right" w:pos="8838"/>
      </w:tabs>
      <w:spacing w:after="0" w:line="240" w:lineRule="auto"/>
      <w:rPr>
        <w:color w:val="000000"/>
        <w:lang w:val="zh-CN"/>
      </w:rPr>
    </w:pPr>
    <w:r>
      <w:rPr>
        <w:noProof/>
        <w:lang w:val="es-ES" w:eastAsia="es-ES"/>
      </w:rPr>
      <w:drawing>
        <wp:inline distT="0" distB="0" distL="0" distR="0" wp14:anchorId="5FFAE755" wp14:editId="378988D6">
          <wp:extent cx="1028065" cy="310515"/>
          <wp:effectExtent l="0" t="0" r="8255" b="9525"/>
          <wp:docPr id="21" name="Imagen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3"/>
                  <pic:cNvPicPr>
                    <a:picLocks noChangeAspect="1"/>
                  </pic:cNvPicPr>
                </pic:nvPicPr>
                <pic:blipFill>
                  <a:blip r:embed="rId2">
                    <a:extLst>
                      <a:ext uri="{28A0092B-C50C-407E-A947-70E740481C1C}">
                        <a14:useLocalDpi xmlns:a14="http://schemas.microsoft.com/office/drawing/2010/main" val="0"/>
                      </a:ext>
                    </a:extLst>
                  </a:blip>
                  <a:srcRect t="33148" b="36666"/>
                  <a:stretch>
                    <a:fillRect/>
                  </a:stretch>
                </pic:blipFill>
                <pic:spPr>
                  <a:xfrm>
                    <a:off x="0" y="0"/>
                    <a:ext cx="1067486" cy="322266"/>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9BC2" w14:textId="77777777" w:rsidR="00726E42" w:rsidRDefault="00000000">
    <w:pPr>
      <w:spacing w:after="0" w:line="240" w:lineRule="auto"/>
      <w:jc w:val="both"/>
      <w:rPr>
        <w:rFonts w:ascii="Times New Roman" w:hAnsi="Times New Roman" w:cs="Times New Roman"/>
        <w:b/>
        <w:sz w:val="16"/>
        <w:szCs w:val="16"/>
        <w:lang w:val="es-ES"/>
      </w:rPr>
    </w:pPr>
    <w:r>
      <w:rPr>
        <w:rFonts w:cs="SimSun"/>
        <w:noProof/>
      </w:rPr>
      <mc:AlternateContent>
        <mc:Choice Requires="wps">
          <w:drawing>
            <wp:anchor distT="0" distB="0" distL="114300" distR="114300" simplePos="0" relativeHeight="251661312" behindDoc="0" locked="0" layoutInCell="1" allowOverlap="1" wp14:anchorId="03EF0077" wp14:editId="02F181E4">
              <wp:simplePos x="0" y="0"/>
              <wp:positionH relativeFrom="column">
                <wp:posOffset>5080</wp:posOffset>
              </wp:positionH>
              <wp:positionV relativeFrom="paragraph">
                <wp:posOffset>107950</wp:posOffset>
              </wp:positionV>
              <wp:extent cx="5966460" cy="0"/>
              <wp:effectExtent l="0" t="5080" r="0" b="4445"/>
              <wp:wrapNone/>
              <wp:docPr id="14" name="Conector recto 12"/>
              <wp:cNvGraphicFramePr/>
              <a:graphic xmlns:a="http://schemas.openxmlformats.org/drawingml/2006/main">
                <a:graphicData uri="http://schemas.microsoft.com/office/word/2010/wordprocessingShape">
                  <wps:wsp>
                    <wps:cNvCnPr/>
                    <wps:spPr>
                      <a:xfrm>
                        <a:off x="0" y="0"/>
                        <a:ext cx="596646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psCustomData="http://www.wps.cn/officeDocument/2013/wpsCustomData">
          <w:pict>
            <v:line id="Conector recto 12" o:spid="_x0000_s1026" o:spt="20" style="position:absolute;left:0pt;margin-left:0.4pt;margin-top:8.5pt;height:0pt;width:469.8pt;z-index:251661312;mso-width-relative:page;mso-height-relative:page;" filled="f" stroked="t" coordsize="21600,21600" o:gfxdata="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jQ2vj1gAA&#10;AAYBAAAPAAAAAAAAAAEAIAAAACIAAABkcnMvZG93bnJldi54bWxQSwECFAAUAAAACACHTuJAeadC&#10;HucBAADiAwAADgAAAAAAAAABACAAAAAlAQAAZHJzL2Uyb0RvYy54bWxQSwUGAAAAAAYABgBZAQAA&#10;fgUAAAAA&#10;">
              <v:fill on="f" focussize="0,0"/>
              <v:stroke color="#4A7EBB" joinstyle="round"/>
              <v:imagedata o:title=""/>
              <o:lock v:ext="edit" aspectratio="f"/>
            </v:line>
          </w:pict>
        </mc:Fallback>
      </mc:AlternateContent>
    </w:r>
  </w:p>
  <w:p w14:paraId="58963A1E" w14:textId="77777777" w:rsidR="00726E42" w:rsidRDefault="00000000">
    <w:pPr>
      <w:spacing w:after="0" w:line="240" w:lineRule="auto"/>
      <w:jc w:val="right"/>
      <w:rPr>
        <w:rFonts w:asciiTheme="minorHAnsi" w:hAnsiTheme="minorHAnsi" w:cs="Times New Roman"/>
        <w:sz w:val="16"/>
        <w:szCs w:val="16"/>
        <w:lang w:val="es-ES"/>
      </w:rPr>
    </w:pPr>
    <w:r>
      <w:rPr>
        <w:rFonts w:cs="SimSun"/>
        <w:noProof/>
      </w:rPr>
      <mc:AlternateContent>
        <mc:Choice Requires="wps">
          <w:drawing>
            <wp:anchor distT="0" distB="0" distL="114300" distR="114300" simplePos="0" relativeHeight="251662336" behindDoc="0" locked="0" layoutInCell="0" allowOverlap="1" wp14:anchorId="0610C533" wp14:editId="4C69DFF0">
              <wp:simplePos x="0" y="0"/>
              <wp:positionH relativeFrom="margin">
                <wp:posOffset>5647690</wp:posOffset>
              </wp:positionH>
              <wp:positionV relativeFrom="bottomMargin">
                <wp:posOffset>206375</wp:posOffset>
              </wp:positionV>
              <wp:extent cx="323850" cy="323850"/>
              <wp:effectExtent l="0" t="0" r="11430" b="11430"/>
              <wp:wrapNone/>
              <wp:docPr id="15" name="Elips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850"/>
                      </a:xfrm>
                      <a:prstGeom prst="ellipse">
                        <a:avLst/>
                      </a:prstGeom>
                      <a:solidFill>
                        <a:srgbClr val="00CD23"/>
                      </a:solidFill>
                      <a:ln>
                        <a:noFill/>
                      </a:ln>
                    </wps:spPr>
                    <wps:txbx>
                      <w:txbxContent>
                        <w:p w14:paraId="4BAFC355" w14:textId="77777777" w:rsidR="00726E42" w:rsidRDefault="00000000">
                          <w:pPr>
                            <w:jc w:val="center"/>
                            <w:rPr>
                              <w:rStyle w:val="Nmerodepgina"/>
                              <w:color w:val="FFFFFF" w:themeColor="background1"/>
                              <w:sz w:val="20"/>
                              <w:szCs w:val="24"/>
                            </w:rPr>
                          </w:pPr>
                          <w:r>
                            <w:rPr>
                              <w:sz w:val="20"/>
                            </w:rPr>
                            <w:fldChar w:fldCharType="begin"/>
                          </w:r>
                          <w:r>
                            <w:rPr>
                              <w:sz w:val="20"/>
                            </w:rPr>
                            <w:instrText>PAGE    \* MERGEFORMAT</w:instrText>
                          </w:r>
                          <w:r>
                            <w:rPr>
                              <w:sz w:val="20"/>
                            </w:rPr>
                            <w:fldChar w:fldCharType="separate"/>
                          </w:r>
                          <w:r>
                            <w:rPr>
                              <w:rStyle w:val="Nmerodepgina"/>
                              <w:b/>
                              <w:bCs/>
                              <w:color w:val="FFFFFF" w:themeColor="background1"/>
                              <w:szCs w:val="24"/>
                              <w:lang w:val="es-ES"/>
                            </w:rPr>
                            <w:t>1</w:t>
                          </w:r>
                          <w:r>
                            <w:rPr>
                              <w:rStyle w:val="Nmerodepgina"/>
                              <w:b/>
                              <w:bCs/>
                              <w:color w:val="FFFFFF" w:themeColor="background1"/>
                              <w:szCs w:val="24"/>
                            </w:rPr>
                            <w:fldChar w:fldCharType="end"/>
                          </w:r>
                        </w:p>
                      </w:txbxContent>
                    </wps:txbx>
                    <wps:bodyPr rot="0" vert="horz" wrap="square" lIns="0" tIns="45720" rIns="0" bIns="45720" anchor="t" anchorCtr="0" upright="1">
                      <a:noAutofit/>
                    </wps:bodyPr>
                  </wps:wsp>
                </a:graphicData>
              </a:graphic>
            </wp:anchor>
          </w:drawing>
        </mc:Choice>
        <mc:Fallback>
          <w:pict>
            <v:oval w14:anchorId="0610C533" id="Elipse 14" o:spid="_x0000_s1027" style="position:absolute;left:0;text-align:left;margin-left:444.7pt;margin-top:16.25pt;width:25.5pt;height:25.5pt;z-index:251662336;visibility:visible;mso-wrap-style:square;mso-wrap-distance-left:9pt;mso-wrap-distance-top:0;mso-wrap-distance-right:9pt;mso-wrap-distance-bottom:0;mso-position-horizontal:absolute;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" o:allowincell="f" fillcolor="#00cd23" stroked="f">
              <v:textbox inset="0,,0">
                <w:txbxContent>
                  <w:p w14:paraId="4BAFC355" w14:textId="77777777" w:rsidR="00726E42" w:rsidRDefault="00000000">
                    <w:pPr>
                      <w:jc w:val="center"/>
                      <w:rPr>
                        <w:rStyle w:val="Nmerodepgina"/>
                        <w:color w:val="FFFFFF" w:themeColor="background1"/>
                        <w:sz w:val="20"/>
                        <w:szCs w:val="24"/>
                      </w:rPr>
                    </w:pPr>
                    <w:r>
                      <w:rPr>
                        <w:sz w:val="20"/>
                      </w:rPr>
                      <w:fldChar w:fldCharType="begin"/>
                    </w:r>
                    <w:r>
                      <w:rPr>
                        <w:sz w:val="20"/>
                      </w:rPr>
                      <w:instrText>PAGE    \* MERGEFORMAT</w:instrText>
                    </w:r>
                    <w:r>
                      <w:rPr>
                        <w:sz w:val="20"/>
                      </w:rPr>
                      <w:fldChar w:fldCharType="separate"/>
                    </w:r>
                    <w:r>
                      <w:rPr>
                        <w:rStyle w:val="Nmerodepgina"/>
                        <w:b/>
                        <w:bCs/>
                        <w:color w:val="FFFFFF" w:themeColor="background1"/>
                        <w:szCs w:val="24"/>
                        <w:lang w:val="es-ES"/>
                      </w:rPr>
                      <w:t>1</w:t>
                    </w:r>
                    <w:r>
                      <w:rPr>
                        <w:rStyle w:val="Nmerodepgina"/>
                        <w:b/>
                        <w:bCs/>
                        <w:color w:val="FFFFFF" w:themeColor="background1"/>
                        <w:szCs w:val="24"/>
                      </w:rPr>
                      <w:fldChar w:fldCharType="end"/>
                    </w:r>
                  </w:p>
                </w:txbxContent>
              </v:textbox>
              <w10:wrap anchorx="margin" anchory="margin"/>
            </v:oval>
          </w:pict>
        </mc:Fallback>
      </mc:AlternateContent>
    </w:r>
  </w:p>
  <w:p w14:paraId="1640662B" w14:textId="77777777" w:rsidR="00726E42" w:rsidRDefault="00000000">
    <w:pPr>
      <w:spacing w:after="0" w:line="240" w:lineRule="auto"/>
      <w:rPr>
        <w:sz w:val="16"/>
        <w:szCs w:val="16"/>
      </w:rPr>
    </w:pPr>
    <w:r>
      <w:rPr>
        <w:rFonts w:asciiTheme="minorHAnsi" w:hAnsiTheme="minorHAnsi" w:cs="Times New Roman"/>
        <w:noProof/>
        <w:sz w:val="16"/>
        <w:szCs w:val="16"/>
        <w:lang w:val="es-ES" w:eastAsia="es-ES"/>
      </w:rPr>
      <w:drawing>
        <wp:inline distT="0" distB="0" distL="0" distR="0" wp14:anchorId="14C0E3AE" wp14:editId="46EB4B2C">
          <wp:extent cx="838200" cy="295275"/>
          <wp:effectExtent l="0" t="0" r="0" b="9525"/>
          <wp:docPr id="1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AD4B5" w14:textId="77777777" w:rsidR="004E6990" w:rsidRDefault="004E6990">
      <w:pPr>
        <w:spacing w:after="0"/>
      </w:pPr>
      <w:r>
        <w:separator/>
      </w:r>
    </w:p>
  </w:footnote>
  <w:footnote w:type="continuationSeparator" w:id="0">
    <w:p w14:paraId="1BDB8E7F" w14:textId="77777777" w:rsidR="004E6990" w:rsidRDefault="004E69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14E17" w14:textId="77777777" w:rsidR="00726E42" w:rsidRDefault="00000000">
    <w:pPr>
      <w:tabs>
        <w:tab w:val="center" w:pos="4419"/>
        <w:tab w:val="right" w:pos="8838"/>
      </w:tabs>
      <w:spacing w:after="60" w:line="240" w:lineRule="auto"/>
      <w:jc w:val="both"/>
      <w:rPr>
        <w:color w:val="0563C1"/>
        <w:sz w:val="16"/>
        <w:szCs w:val="16"/>
        <w:u w:val="single"/>
      </w:rPr>
    </w:pPr>
    <w:r>
      <w:rPr>
        <w:rFonts w:cs="SimSun"/>
        <w:noProof/>
      </w:rPr>
      <mc:AlternateContent>
        <mc:Choice Requires="wps">
          <w:drawing>
            <wp:anchor distT="0" distB="0" distL="114300" distR="114300" simplePos="0" relativeHeight="251665408" behindDoc="0" locked="0" layoutInCell="1" allowOverlap="1" wp14:anchorId="256ADCED" wp14:editId="0FAA2C7E">
              <wp:simplePos x="0" y="0"/>
              <wp:positionH relativeFrom="column">
                <wp:posOffset>0</wp:posOffset>
              </wp:positionH>
              <wp:positionV relativeFrom="paragraph">
                <wp:posOffset>-635</wp:posOffset>
              </wp:positionV>
              <wp:extent cx="5966460" cy="0"/>
              <wp:effectExtent l="0" t="5080" r="0" b="4445"/>
              <wp:wrapNone/>
              <wp:docPr id="17" name="Conector recto 1289533605"/>
              <wp:cNvGraphicFramePr/>
              <a:graphic xmlns:a="http://schemas.openxmlformats.org/drawingml/2006/main">
                <a:graphicData uri="http://schemas.microsoft.com/office/word/2010/wordprocessingShape">
                  <wps:wsp>
                    <wps:cNvCnPr/>
                    <wps:spPr>
                      <a:xfrm>
                        <a:off x="0" y="0"/>
                        <a:ext cx="596646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psCustomData="http://www.wps.cn/officeDocument/2013/wpsCustomData">
          <w:pict>
            <v:line id="Conector recto 1289533605" o:spid="_x0000_s1026" o:spt="20" style="position:absolute;left:0pt;margin-left:0pt;margin-top:-0.05pt;height:0pt;width:469.8pt;z-index:251665408;mso-width-relative:page;mso-height-relative:page;" filled="f" stroked="t" coordsize="21600,21600" o:gfxdata="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s3iBtUAAAAEAQAADwAAAAAAAAABACAAAAAiAAAAZHJzL2Rvd25yZXYueG1sUEsBAhQAFAAAAAgA&#10;h07iQPEvRd/vAQAA6gMAAA4AAAAAAAAAAQAgAAAAJAEAAGRycy9lMm9Eb2MueG1sUEsFBgAAAAAG&#10;AAYAWQEAAIUFAAAAAA==&#10;">
              <v:fill on="f" focussize="0,0"/>
              <v:stroke color="#4A7EBB" joinstyle="round"/>
              <v:imagedata o:title=""/>
              <o:lock v:ext="edit" aspectratio="f"/>
            </v:line>
          </w:pict>
        </mc:Fallback>
      </mc:AlternateContent>
    </w:r>
    <w:r>
      <w:rPr>
        <w:noProof/>
      </w:rPr>
      <mc:AlternateContent>
        <mc:Choice Requires="wps">
          <w:drawing>
            <wp:anchor distT="0" distB="0" distL="114300" distR="114300" simplePos="0" relativeHeight="251659264" behindDoc="0" locked="0" layoutInCell="1" allowOverlap="1" wp14:anchorId="0E79A0B0" wp14:editId="6B163B47">
              <wp:simplePos x="0" y="0"/>
              <wp:positionH relativeFrom="column">
                <wp:posOffset>0</wp:posOffset>
              </wp:positionH>
              <wp:positionV relativeFrom="paragraph">
                <wp:posOffset>0</wp:posOffset>
              </wp:positionV>
              <wp:extent cx="0" cy="12700"/>
              <wp:effectExtent l="0" t="0" r="0" b="0"/>
              <wp:wrapNone/>
              <wp:docPr id="18" name="Conector recto de flecha 1947341870"/>
              <wp:cNvGraphicFramePr/>
              <a:graphic xmlns:a="http://schemas.openxmlformats.org/drawingml/2006/main">
                <a:graphicData uri="http://schemas.microsoft.com/office/word/2010/wordprocessingShape">
                  <wps:wsp>
                    <wps:cNvCnPr/>
                    <wps:spPr>
                      <a:xfrm>
                        <a:off x="2362770" y="3780000"/>
                        <a:ext cx="5966460"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xmlns:wpsCustomData="http://www.wps.cn/officeDocument/2013/wpsCustomData">
          <w:pict>
            <v:shape id="Conector recto de flecha 1947341870" o:spid="_x0000_s1026" o:spt="32" type="#_x0000_t32" style="position:absolute;left:0pt;margin-left:0pt;margin-top:0pt;height:1pt;width:0pt;z-index:251659264;mso-width-relative:page;mso-height-relative:page;" filled="f" stroked="t" coordsize="21600,21600" o:gfxdata="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EqKV9MAAAAAAQAADwAAAAAAAAABACAAAAAiAAAAZHJzL2Rv&#10;d25yZXYueG1sUEsBAhQAFAAAAAgAh07iQIHMTEcGAgAAFgQAAA4AAAAAAAAAAQAgAAAAIgEAAGRy&#10;cy9lMm9Eb2MueG1sUEsFBgAAAAAGAAYAWQEAAJoFAAAAAA==&#10;">
              <v:fill on="f" focussize="0,0"/>
              <v:stroke color="#4A7DBA" joinstyle="round" startarrowwidth="narrow" startarrowlength="short" endarrowwidth="narrow" endarrowlength="short"/>
              <v:imagedata o:title=""/>
              <o:lock v:ext="edit" aspectratio="f"/>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73004" w14:textId="77777777" w:rsidR="00726E42" w:rsidRDefault="00000000">
    <w:pPr>
      <w:tabs>
        <w:tab w:val="center" w:pos="4419"/>
        <w:tab w:val="right" w:pos="8838"/>
      </w:tabs>
      <w:spacing w:after="0" w:line="240" w:lineRule="auto"/>
      <w:rPr>
        <w:color w:val="000000"/>
      </w:rPr>
    </w:pPr>
    <w:r>
      <w:rPr>
        <w:noProof/>
      </w:rPr>
      <w:drawing>
        <wp:anchor distT="0" distB="0" distL="114300" distR="114300" simplePos="0" relativeHeight="251660288" behindDoc="0" locked="0" layoutInCell="1" allowOverlap="1" wp14:anchorId="3253553B" wp14:editId="41F989F5">
          <wp:simplePos x="0" y="0"/>
          <wp:positionH relativeFrom="page">
            <wp:posOffset>940435</wp:posOffset>
          </wp:positionH>
          <wp:positionV relativeFrom="page">
            <wp:posOffset>492125</wp:posOffset>
          </wp:positionV>
          <wp:extent cx="683895" cy="683895"/>
          <wp:effectExtent l="0" t="0" r="1905" b="1905"/>
          <wp:wrapNone/>
          <wp:docPr id="4" name="image4.png"/>
          <wp:cNvGraphicFramePr/>
          <a:graphic xmlns:a="http://schemas.openxmlformats.org/drawingml/2006/main">
            <a:graphicData uri="http://schemas.openxmlformats.org/drawingml/2006/picture">
              <pic:pic xmlns:pic="http://schemas.openxmlformats.org/drawingml/2006/picture">
                <pic:nvPicPr>
                  <pic:cNvPr id="4" name="image4.png"/>
                  <pic:cNvPicPr preferRelativeResize="0"/>
                </pic:nvPicPr>
                <pic:blipFill>
                  <a:blip r:embed="rId1"/>
                  <a:srcRect/>
                  <a:stretch>
                    <a:fillRect/>
                  </a:stretch>
                </pic:blipFill>
                <pic:spPr>
                  <a:xfrm>
                    <a:off x="0" y="0"/>
                    <a:ext cx="684000" cy="684000"/>
                  </a:xfrm>
                  <a:prstGeom prst="rect">
                    <a:avLst/>
                  </a:prstGeom>
                </pic:spPr>
              </pic:pic>
            </a:graphicData>
          </a:graphic>
        </wp:anchor>
      </w:drawing>
    </w:r>
    <w:r>
      <w:rPr>
        <w:noProof/>
        <w:color w:val="000000"/>
      </w:rPr>
      <w:drawing>
        <wp:inline distT="0" distB="0" distL="0" distR="0" wp14:anchorId="1D2E4776" wp14:editId="137829F9">
          <wp:extent cx="6022975" cy="771525"/>
          <wp:effectExtent l="0" t="0" r="12065" b="5715"/>
          <wp:docPr id="12" name="image5.png"/>
          <wp:cNvGraphicFramePr/>
          <a:graphic xmlns:a="http://schemas.openxmlformats.org/drawingml/2006/main">
            <a:graphicData uri="http://schemas.openxmlformats.org/drawingml/2006/picture">
              <pic:pic xmlns:pic="http://schemas.openxmlformats.org/drawingml/2006/picture">
                <pic:nvPicPr>
                  <pic:cNvPr id="12" name="image5.png"/>
                  <pic:cNvPicPr preferRelativeResize="0"/>
                </pic:nvPicPr>
                <pic:blipFill>
                  <a:blip r:embed="rId2"/>
                  <a:srcRect/>
                  <a:stretch>
                    <a:fillRect/>
                  </a:stretch>
                </pic:blipFill>
                <pic:spPr>
                  <a:xfrm>
                    <a:off x="0" y="0"/>
                    <a:ext cx="6023324" cy="7715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5F5915"/>
    <w:multiLevelType w:val="multilevel"/>
    <w:tmpl w:val="645F5915"/>
    <w:lvl w:ilvl="0">
      <w:start w:val="1"/>
      <w:numFmt w:val="decimal"/>
      <w:pStyle w:val="Filiacion"/>
      <w:lvlText w:val="(%1)"/>
      <w:lvlJc w:val="left"/>
      <w:pPr>
        <w:ind w:left="470" w:hanging="215"/>
      </w:pPr>
      <w:rPr>
        <w:rFonts w:ascii="Calibri" w:eastAsia="Calibri" w:hAnsi="Calibri" w:cs="Calibri"/>
        <w:b w:val="0"/>
        <w:i w:val="0"/>
        <w:sz w:val="23"/>
        <w:szCs w:val="23"/>
        <w:vertAlign w:val="superscript"/>
      </w:rPr>
    </w:lvl>
    <w:lvl w:ilvl="1">
      <w:numFmt w:val="bullet"/>
      <w:lvlText w:val="•"/>
      <w:lvlJc w:val="left"/>
      <w:pPr>
        <w:ind w:left="1174" w:hanging="215"/>
      </w:pPr>
    </w:lvl>
    <w:lvl w:ilvl="2">
      <w:numFmt w:val="bullet"/>
      <w:lvlText w:val="•"/>
      <w:lvlJc w:val="left"/>
      <w:pPr>
        <w:ind w:left="1868" w:hanging="215"/>
      </w:pPr>
    </w:lvl>
    <w:lvl w:ilvl="3">
      <w:numFmt w:val="bullet"/>
      <w:lvlText w:val="•"/>
      <w:lvlJc w:val="left"/>
      <w:pPr>
        <w:ind w:left="2563" w:hanging="215"/>
      </w:pPr>
    </w:lvl>
    <w:lvl w:ilvl="4">
      <w:numFmt w:val="bullet"/>
      <w:lvlText w:val="•"/>
      <w:lvlJc w:val="left"/>
      <w:pPr>
        <w:ind w:left="3257" w:hanging="215"/>
      </w:pPr>
    </w:lvl>
    <w:lvl w:ilvl="5">
      <w:numFmt w:val="bullet"/>
      <w:lvlText w:val="•"/>
      <w:lvlJc w:val="left"/>
      <w:pPr>
        <w:ind w:left="3952" w:hanging="215"/>
      </w:pPr>
    </w:lvl>
    <w:lvl w:ilvl="6">
      <w:numFmt w:val="bullet"/>
      <w:lvlText w:val="•"/>
      <w:lvlJc w:val="left"/>
      <w:pPr>
        <w:ind w:left="4646" w:hanging="215"/>
      </w:pPr>
    </w:lvl>
    <w:lvl w:ilvl="7">
      <w:numFmt w:val="bullet"/>
      <w:lvlText w:val="•"/>
      <w:lvlJc w:val="left"/>
      <w:pPr>
        <w:ind w:left="5341" w:hanging="215"/>
      </w:pPr>
    </w:lvl>
    <w:lvl w:ilvl="8">
      <w:numFmt w:val="bullet"/>
      <w:lvlText w:val="•"/>
      <w:lvlJc w:val="left"/>
      <w:pPr>
        <w:ind w:left="6035" w:hanging="215"/>
      </w:pPr>
    </w:lvl>
  </w:abstractNum>
  <w:num w:numId="1" w16cid:durableId="1652901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8F7"/>
    <w:rsid w:val="00003554"/>
    <w:rsid w:val="00007410"/>
    <w:rsid w:val="00007C37"/>
    <w:rsid w:val="00015086"/>
    <w:rsid w:val="000217A9"/>
    <w:rsid w:val="000237BA"/>
    <w:rsid w:val="000255F8"/>
    <w:rsid w:val="000259BA"/>
    <w:rsid w:val="00035F79"/>
    <w:rsid w:val="00036171"/>
    <w:rsid w:val="000366FA"/>
    <w:rsid w:val="000452EE"/>
    <w:rsid w:val="0004533F"/>
    <w:rsid w:val="00046248"/>
    <w:rsid w:val="00050AE7"/>
    <w:rsid w:val="00050E0B"/>
    <w:rsid w:val="00065C91"/>
    <w:rsid w:val="000667D3"/>
    <w:rsid w:val="000745BB"/>
    <w:rsid w:val="000760BF"/>
    <w:rsid w:val="00076A11"/>
    <w:rsid w:val="000803CD"/>
    <w:rsid w:val="0008451F"/>
    <w:rsid w:val="000856B6"/>
    <w:rsid w:val="0008698A"/>
    <w:rsid w:val="00087F2C"/>
    <w:rsid w:val="00090CC3"/>
    <w:rsid w:val="00090DCD"/>
    <w:rsid w:val="000B3279"/>
    <w:rsid w:val="000B3CDE"/>
    <w:rsid w:val="000C688A"/>
    <w:rsid w:val="000D0416"/>
    <w:rsid w:val="000E3D23"/>
    <w:rsid w:val="000E46A3"/>
    <w:rsid w:val="000F1B16"/>
    <w:rsid w:val="000F7BC3"/>
    <w:rsid w:val="001032C2"/>
    <w:rsid w:val="001049AE"/>
    <w:rsid w:val="00110EFF"/>
    <w:rsid w:val="001177C9"/>
    <w:rsid w:val="00123BCD"/>
    <w:rsid w:val="00133084"/>
    <w:rsid w:val="00133D1B"/>
    <w:rsid w:val="00135439"/>
    <w:rsid w:val="0013624B"/>
    <w:rsid w:val="00137F09"/>
    <w:rsid w:val="001440D4"/>
    <w:rsid w:val="001441E2"/>
    <w:rsid w:val="00154241"/>
    <w:rsid w:val="00157679"/>
    <w:rsid w:val="001650A4"/>
    <w:rsid w:val="00166BD0"/>
    <w:rsid w:val="00173631"/>
    <w:rsid w:val="001736E1"/>
    <w:rsid w:val="0018297E"/>
    <w:rsid w:val="00186458"/>
    <w:rsid w:val="001A5D3C"/>
    <w:rsid w:val="001A77AC"/>
    <w:rsid w:val="001B2D0F"/>
    <w:rsid w:val="001B57BC"/>
    <w:rsid w:val="001C110A"/>
    <w:rsid w:val="001C1C3E"/>
    <w:rsid w:val="001C352E"/>
    <w:rsid w:val="001C5D73"/>
    <w:rsid w:val="001D2E0C"/>
    <w:rsid w:val="001D420F"/>
    <w:rsid w:val="001E1607"/>
    <w:rsid w:val="001F5863"/>
    <w:rsid w:val="00200FCD"/>
    <w:rsid w:val="00201940"/>
    <w:rsid w:val="00201B8B"/>
    <w:rsid w:val="002048E3"/>
    <w:rsid w:val="00206B44"/>
    <w:rsid w:val="00210B9F"/>
    <w:rsid w:val="002313C6"/>
    <w:rsid w:val="0023432E"/>
    <w:rsid w:val="002406D9"/>
    <w:rsid w:val="002428C0"/>
    <w:rsid w:val="00243ABF"/>
    <w:rsid w:val="00244A6E"/>
    <w:rsid w:val="002454B9"/>
    <w:rsid w:val="00263805"/>
    <w:rsid w:val="002772B4"/>
    <w:rsid w:val="0027782B"/>
    <w:rsid w:val="0028266C"/>
    <w:rsid w:val="00286011"/>
    <w:rsid w:val="002A4C35"/>
    <w:rsid w:val="002C3FD7"/>
    <w:rsid w:val="002C7FE2"/>
    <w:rsid w:val="002D648F"/>
    <w:rsid w:val="002E0FD4"/>
    <w:rsid w:val="002E4FC7"/>
    <w:rsid w:val="002E53E0"/>
    <w:rsid w:val="002E57B5"/>
    <w:rsid w:val="002E6AE4"/>
    <w:rsid w:val="002E7B9F"/>
    <w:rsid w:val="002F0AB0"/>
    <w:rsid w:val="002F6245"/>
    <w:rsid w:val="00326E78"/>
    <w:rsid w:val="00327930"/>
    <w:rsid w:val="00330C08"/>
    <w:rsid w:val="00336116"/>
    <w:rsid w:val="00350942"/>
    <w:rsid w:val="003703B3"/>
    <w:rsid w:val="00374A9F"/>
    <w:rsid w:val="003905A5"/>
    <w:rsid w:val="0039230D"/>
    <w:rsid w:val="003934AF"/>
    <w:rsid w:val="003A77C8"/>
    <w:rsid w:val="003B6080"/>
    <w:rsid w:val="003C5C9E"/>
    <w:rsid w:val="003D0845"/>
    <w:rsid w:val="003D2455"/>
    <w:rsid w:val="003D368B"/>
    <w:rsid w:val="003E7E06"/>
    <w:rsid w:val="003F5DD1"/>
    <w:rsid w:val="00400226"/>
    <w:rsid w:val="00406A84"/>
    <w:rsid w:val="0041350A"/>
    <w:rsid w:val="0041536A"/>
    <w:rsid w:val="00422F41"/>
    <w:rsid w:val="004614A5"/>
    <w:rsid w:val="00466364"/>
    <w:rsid w:val="00473754"/>
    <w:rsid w:val="004819EC"/>
    <w:rsid w:val="00494141"/>
    <w:rsid w:val="00495B56"/>
    <w:rsid w:val="004A293A"/>
    <w:rsid w:val="004B28F7"/>
    <w:rsid w:val="004C0DA5"/>
    <w:rsid w:val="004C177C"/>
    <w:rsid w:val="004C3A02"/>
    <w:rsid w:val="004E3DAF"/>
    <w:rsid w:val="004E4ACF"/>
    <w:rsid w:val="004E6990"/>
    <w:rsid w:val="004E7D76"/>
    <w:rsid w:val="004F1636"/>
    <w:rsid w:val="004F3DFA"/>
    <w:rsid w:val="00516A61"/>
    <w:rsid w:val="0052084C"/>
    <w:rsid w:val="00521C4A"/>
    <w:rsid w:val="00523A3A"/>
    <w:rsid w:val="00525809"/>
    <w:rsid w:val="00530CD2"/>
    <w:rsid w:val="00534101"/>
    <w:rsid w:val="00541B60"/>
    <w:rsid w:val="00542664"/>
    <w:rsid w:val="005445A5"/>
    <w:rsid w:val="0054624F"/>
    <w:rsid w:val="005510C2"/>
    <w:rsid w:val="005569C1"/>
    <w:rsid w:val="0056192F"/>
    <w:rsid w:val="00580BB9"/>
    <w:rsid w:val="00581726"/>
    <w:rsid w:val="0058665D"/>
    <w:rsid w:val="005950B6"/>
    <w:rsid w:val="005A11DE"/>
    <w:rsid w:val="005A7590"/>
    <w:rsid w:val="005A788C"/>
    <w:rsid w:val="005B1F2A"/>
    <w:rsid w:val="005B41F7"/>
    <w:rsid w:val="005B52AE"/>
    <w:rsid w:val="005B5B1D"/>
    <w:rsid w:val="005B6083"/>
    <w:rsid w:val="005C32B1"/>
    <w:rsid w:val="005D169D"/>
    <w:rsid w:val="005E17ED"/>
    <w:rsid w:val="005F2B70"/>
    <w:rsid w:val="005F425D"/>
    <w:rsid w:val="005F44D4"/>
    <w:rsid w:val="00606618"/>
    <w:rsid w:val="006144E4"/>
    <w:rsid w:val="00633BCB"/>
    <w:rsid w:val="00637CF5"/>
    <w:rsid w:val="00655364"/>
    <w:rsid w:val="006619D2"/>
    <w:rsid w:val="00665968"/>
    <w:rsid w:val="00667D24"/>
    <w:rsid w:val="006728BB"/>
    <w:rsid w:val="00681E9C"/>
    <w:rsid w:val="00684B7D"/>
    <w:rsid w:val="0069178B"/>
    <w:rsid w:val="0069233B"/>
    <w:rsid w:val="00696043"/>
    <w:rsid w:val="006A2095"/>
    <w:rsid w:val="006A3F35"/>
    <w:rsid w:val="006B0C8F"/>
    <w:rsid w:val="006B2D42"/>
    <w:rsid w:val="006E07E6"/>
    <w:rsid w:val="006E5F81"/>
    <w:rsid w:val="006F1DE7"/>
    <w:rsid w:val="00703E86"/>
    <w:rsid w:val="00704704"/>
    <w:rsid w:val="007202A5"/>
    <w:rsid w:val="00726E42"/>
    <w:rsid w:val="00733DAA"/>
    <w:rsid w:val="007420F9"/>
    <w:rsid w:val="007421A6"/>
    <w:rsid w:val="00742D75"/>
    <w:rsid w:val="00744671"/>
    <w:rsid w:val="00745B8A"/>
    <w:rsid w:val="00747A94"/>
    <w:rsid w:val="00752BA6"/>
    <w:rsid w:val="007563CD"/>
    <w:rsid w:val="0076093D"/>
    <w:rsid w:val="00761D71"/>
    <w:rsid w:val="007647A9"/>
    <w:rsid w:val="00765B79"/>
    <w:rsid w:val="007712AF"/>
    <w:rsid w:val="007752FA"/>
    <w:rsid w:val="00784848"/>
    <w:rsid w:val="00784D10"/>
    <w:rsid w:val="00791F01"/>
    <w:rsid w:val="007A3DD6"/>
    <w:rsid w:val="007B1BC5"/>
    <w:rsid w:val="007B40F7"/>
    <w:rsid w:val="007C075D"/>
    <w:rsid w:val="007C2ED3"/>
    <w:rsid w:val="007D4FFB"/>
    <w:rsid w:val="007D6BDA"/>
    <w:rsid w:val="007E1D56"/>
    <w:rsid w:val="007E76F6"/>
    <w:rsid w:val="007F00CE"/>
    <w:rsid w:val="00803438"/>
    <w:rsid w:val="008079CC"/>
    <w:rsid w:val="008104B3"/>
    <w:rsid w:val="00810EA3"/>
    <w:rsid w:val="008209D6"/>
    <w:rsid w:val="00821C3E"/>
    <w:rsid w:val="008268D9"/>
    <w:rsid w:val="0083623D"/>
    <w:rsid w:val="00840A0C"/>
    <w:rsid w:val="008434EC"/>
    <w:rsid w:val="008455A5"/>
    <w:rsid w:val="008456C0"/>
    <w:rsid w:val="00855E54"/>
    <w:rsid w:val="00866467"/>
    <w:rsid w:val="00867B81"/>
    <w:rsid w:val="008867E5"/>
    <w:rsid w:val="008912C5"/>
    <w:rsid w:val="008B47FF"/>
    <w:rsid w:val="008C05DB"/>
    <w:rsid w:val="008C3AAF"/>
    <w:rsid w:val="008C422E"/>
    <w:rsid w:val="008D10EE"/>
    <w:rsid w:val="008D1382"/>
    <w:rsid w:val="008D4AB8"/>
    <w:rsid w:val="008E0EFE"/>
    <w:rsid w:val="008F0CC6"/>
    <w:rsid w:val="008F2CE8"/>
    <w:rsid w:val="008F4FA4"/>
    <w:rsid w:val="008F7150"/>
    <w:rsid w:val="00906B05"/>
    <w:rsid w:val="00906B58"/>
    <w:rsid w:val="00914D1A"/>
    <w:rsid w:val="00922BF6"/>
    <w:rsid w:val="009248B2"/>
    <w:rsid w:val="00927F28"/>
    <w:rsid w:val="009432EF"/>
    <w:rsid w:val="0094411B"/>
    <w:rsid w:val="0094623B"/>
    <w:rsid w:val="009578C1"/>
    <w:rsid w:val="00967569"/>
    <w:rsid w:val="0098525C"/>
    <w:rsid w:val="009951D6"/>
    <w:rsid w:val="00995BA8"/>
    <w:rsid w:val="009A1681"/>
    <w:rsid w:val="009B26AD"/>
    <w:rsid w:val="009D3953"/>
    <w:rsid w:val="009F4313"/>
    <w:rsid w:val="00A074E1"/>
    <w:rsid w:val="00A11E83"/>
    <w:rsid w:val="00A21337"/>
    <w:rsid w:val="00A27C97"/>
    <w:rsid w:val="00A41836"/>
    <w:rsid w:val="00A444C7"/>
    <w:rsid w:val="00A510E9"/>
    <w:rsid w:val="00A567F9"/>
    <w:rsid w:val="00A56A98"/>
    <w:rsid w:val="00A6146B"/>
    <w:rsid w:val="00A77874"/>
    <w:rsid w:val="00A87ED2"/>
    <w:rsid w:val="00A902B4"/>
    <w:rsid w:val="00A90BB8"/>
    <w:rsid w:val="00A926B0"/>
    <w:rsid w:val="00A944AF"/>
    <w:rsid w:val="00A955BB"/>
    <w:rsid w:val="00A97F10"/>
    <w:rsid w:val="00AB0DCA"/>
    <w:rsid w:val="00AC3DB6"/>
    <w:rsid w:val="00AC4073"/>
    <w:rsid w:val="00AC4AC8"/>
    <w:rsid w:val="00AC773A"/>
    <w:rsid w:val="00AD2674"/>
    <w:rsid w:val="00AD2914"/>
    <w:rsid w:val="00AE1B9A"/>
    <w:rsid w:val="00AE4AFD"/>
    <w:rsid w:val="00AF10B7"/>
    <w:rsid w:val="00AF3EEB"/>
    <w:rsid w:val="00AF759C"/>
    <w:rsid w:val="00B013E0"/>
    <w:rsid w:val="00B03F03"/>
    <w:rsid w:val="00B25C63"/>
    <w:rsid w:val="00B4038F"/>
    <w:rsid w:val="00B57CA0"/>
    <w:rsid w:val="00B63761"/>
    <w:rsid w:val="00B65BFC"/>
    <w:rsid w:val="00B715C0"/>
    <w:rsid w:val="00B75192"/>
    <w:rsid w:val="00B75E05"/>
    <w:rsid w:val="00B77962"/>
    <w:rsid w:val="00B91B65"/>
    <w:rsid w:val="00B9224A"/>
    <w:rsid w:val="00BA0BCD"/>
    <w:rsid w:val="00BB1FD1"/>
    <w:rsid w:val="00BC22A1"/>
    <w:rsid w:val="00BD0C7A"/>
    <w:rsid w:val="00BD1DE7"/>
    <w:rsid w:val="00BD4051"/>
    <w:rsid w:val="00BE2979"/>
    <w:rsid w:val="00BE5974"/>
    <w:rsid w:val="00BF070F"/>
    <w:rsid w:val="00BF135F"/>
    <w:rsid w:val="00BF251B"/>
    <w:rsid w:val="00BF2782"/>
    <w:rsid w:val="00BF7E78"/>
    <w:rsid w:val="00C028B1"/>
    <w:rsid w:val="00C030CB"/>
    <w:rsid w:val="00C06179"/>
    <w:rsid w:val="00C0747E"/>
    <w:rsid w:val="00C15B19"/>
    <w:rsid w:val="00C15D9A"/>
    <w:rsid w:val="00C1753B"/>
    <w:rsid w:val="00C20EA4"/>
    <w:rsid w:val="00C236C5"/>
    <w:rsid w:val="00C27983"/>
    <w:rsid w:val="00C5689E"/>
    <w:rsid w:val="00C62571"/>
    <w:rsid w:val="00C64DC3"/>
    <w:rsid w:val="00C77A6A"/>
    <w:rsid w:val="00C869AC"/>
    <w:rsid w:val="00C94128"/>
    <w:rsid w:val="00C96E8F"/>
    <w:rsid w:val="00C97765"/>
    <w:rsid w:val="00CA2901"/>
    <w:rsid w:val="00CA2C01"/>
    <w:rsid w:val="00CA53EA"/>
    <w:rsid w:val="00CB4F8B"/>
    <w:rsid w:val="00CB5CDE"/>
    <w:rsid w:val="00CB7782"/>
    <w:rsid w:val="00CC1D6E"/>
    <w:rsid w:val="00CC703F"/>
    <w:rsid w:val="00CD190C"/>
    <w:rsid w:val="00CD27BA"/>
    <w:rsid w:val="00CD5B14"/>
    <w:rsid w:val="00CD6073"/>
    <w:rsid w:val="00CD6D16"/>
    <w:rsid w:val="00CD6F7C"/>
    <w:rsid w:val="00CE1FC5"/>
    <w:rsid w:val="00CE46AC"/>
    <w:rsid w:val="00CF0CD6"/>
    <w:rsid w:val="00D05C09"/>
    <w:rsid w:val="00D13ACF"/>
    <w:rsid w:val="00D14F05"/>
    <w:rsid w:val="00D15C97"/>
    <w:rsid w:val="00D24291"/>
    <w:rsid w:val="00D32219"/>
    <w:rsid w:val="00D35A08"/>
    <w:rsid w:val="00D41DFA"/>
    <w:rsid w:val="00D4387A"/>
    <w:rsid w:val="00D51286"/>
    <w:rsid w:val="00D57DDB"/>
    <w:rsid w:val="00D60336"/>
    <w:rsid w:val="00D847D6"/>
    <w:rsid w:val="00D94199"/>
    <w:rsid w:val="00D94717"/>
    <w:rsid w:val="00DA40DF"/>
    <w:rsid w:val="00DB0544"/>
    <w:rsid w:val="00DB62BF"/>
    <w:rsid w:val="00DB7D9E"/>
    <w:rsid w:val="00DC373A"/>
    <w:rsid w:val="00DE422D"/>
    <w:rsid w:val="00DE4CF8"/>
    <w:rsid w:val="00DE4FF3"/>
    <w:rsid w:val="00DF2D08"/>
    <w:rsid w:val="00DF33C3"/>
    <w:rsid w:val="00DF5E6A"/>
    <w:rsid w:val="00E02398"/>
    <w:rsid w:val="00E0561F"/>
    <w:rsid w:val="00E1526D"/>
    <w:rsid w:val="00E24F86"/>
    <w:rsid w:val="00E2761E"/>
    <w:rsid w:val="00E31252"/>
    <w:rsid w:val="00E320BE"/>
    <w:rsid w:val="00E3785C"/>
    <w:rsid w:val="00E4012E"/>
    <w:rsid w:val="00E4316B"/>
    <w:rsid w:val="00E45220"/>
    <w:rsid w:val="00E65A11"/>
    <w:rsid w:val="00E67DB5"/>
    <w:rsid w:val="00E818FB"/>
    <w:rsid w:val="00E91C34"/>
    <w:rsid w:val="00E9634C"/>
    <w:rsid w:val="00E97BE9"/>
    <w:rsid w:val="00EA7EB0"/>
    <w:rsid w:val="00EB0626"/>
    <w:rsid w:val="00EB5802"/>
    <w:rsid w:val="00EC26E0"/>
    <w:rsid w:val="00EC59F9"/>
    <w:rsid w:val="00EF7E39"/>
    <w:rsid w:val="00F05C53"/>
    <w:rsid w:val="00F313E0"/>
    <w:rsid w:val="00F372E9"/>
    <w:rsid w:val="00F41229"/>
    <w:rsid w:val="00F456E4"/>
    <w:rsid w:val="00F520B5"/>
    <w:rsid w:val="00F520DD"/>
    <w:rsid w:val="00F53244"/>
    <w:rsid w:val="00F65EC2"/>
    <w:rsid w:val="00F67DFF"/>
    <w:rsid w:val="00F70246"/>
    <w:rsid w:val="00F75C12"/>
    <w:rsid w:val="00F80402"/>
    <w:rsid w:val="00F82DD1"/>
    <w:rsid w:val="00F90790"/>
    <w:rsid w:val="00F97CA9"/>
    <w:rsid w:val="00FA0E84"/>
    <w:rsid w:val="00FA4F5F"/>
    <w:rsid w:val="00FB1EE3"/>
    <w:rsid w:val="00FB68EE"/>
    <w:rsid w:val="00FC4D5F"/>
    <w:rsid w:val="00FF7AD3"/>
    <w:rsid w:val="01276B70"/>
    <w:rsid w:val="022D1D83"/>
    <w:rsid w:val="073B0995"/>
    <w:rsid w:val="09ED21F0"/>
    <w:rsid w:val="0B5B5109"/>
    <w:rsid w:val="0B621420"/>
    <w:rsid w:val="0EC170FB"/>
    <w:rsid w:val="12DB5825"/>
    <w:rsid w:val="1A267911"/>
    <w:rsid w:val="1B43595E"/>
    <w:rsid w:val="1B8D00B5"/>
    <w:rsid w:val="1C2C6826"/>
    <w:rsid w:val="21F0435A"/>
    <w:rsid w:val="22917A29"/>
    <w:rsid w:val="25A10D66"/>
    <w:rsid w:val="26E54D48"/>
    <w:rsid w:val="2B917C0B"/>
    <w:rsid w:val="2C8D22CD"/>
    <w:rsid w:val="2DDC2835"/>
    <w:rsid w:val="2FD158AD"/>
    <w:rsid w:val="357C3C6C"/>
    <w:rsid w:val="381936A3"/>
    <w:rsid w:val="38357CAA"/>
    <w:rsid w:val="39630C59"/>
    <w:rsid w:val="3C004255"/>
    <w:rsid w:val="3C217E78"/>
    <w:rsid w:val="3CC507E9"/>
    <w:rsid w:val="3DD81385"/>
    <w:rsid w:val="41F90599"/>
    <w:rsid w:val="486E7BE0"/>
    <w:rsid w:val="4B917087"/>
    <w:rsid w:val="4D3B772F"/>
    <w:rsid w:val="527862EE"/>
    <w:rsid w:val="5AD56142"/>
    <w:rsid w:val="5B503946"/>
    <w:rsid w:val="5B5C5417"/>
    <w:rsid w:val="5BDD3BFA"/>
    <w:rsid w:val="68EC5F4D"/>
    <w:rsid w:val="68F71FC3"/>
    <w:rsid w:val="6D2340C8"/>
    <w:rsid w:val="710F33DD"/>
    <w:rsid w:val="78435069"/>
    <w:rsid w:val="78DA187D"/>
    <w:rsid w:val="7DB96E83"/>
  </w:rsids>
  <m:mathPr>
    <m:mathFont m:val="Cambria Math"/>
    <m:brkBin m:val="before"/>
    <m:brkBinSub m:val="--"/>
    <m:smallFrac m:val="0"/>
    <m:dispDef/>
    <m:lMargin m:val="0"/>
    <m:rMargin m:val="0"/>
    <m:defJc m:val="centerGroup"/>
    <m:wrapIndent m:val="1440"/>
    <m:intLim m:val="subSup"/>
    <m:naryLim m:val="undOvr"/>
  </m:mathPr>
  <w:themeFontLang w:val="es-P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4B2301"/>
  <w15:docId w15:val="{69D6D7AF-D4D5-4C52-9038-CE853D15A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VE" w:eastAsia="es-V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en-US" w:eastAsia="en-US"/>
    </w:rPr>
  </w:style>
  <w:style w:type="paragraph" w:styleId="Ttulo1">
    <w:name w:val="heading 1"/>
    <w:basedOn w:val="Normal"/>
    <w:next w:val="Normal"/>
    <w:link w:val="Ttulo1Car"/>
    <w:uiPriority w:val="9"/>
    <w:qFormat/>
    <w:pPr>
      <w:spacing w:before="120" w:after="120" w:line="240" w:lineRule="auto"/>
      <w:jc w:val="both"/>
      <w:outlineLvl w:val="0"/>
    </w:pPr>
    <w:rPr>
      <w:rFonts w:asciiTheme="minorHAnsi" w:eastAsia="Times New Roman" w:hAnsiTheme="minorHAnsi" w:cs="Times New Roman"/>
      <w:b/>
      <w:bCs/>
      <w:sz w:val="28"/>
      <w:szCs w:val="28"/>
      <w:lang w:val="es-ES"/>
    </w:rPr>
  </w:style>
  <w:style w:type="paragraph" w:styleId="Ttulo2">
    <w:name w:val="heading 2"/>
    <w:basedOn w:val="Ttulo1"/>
    <w:next w:val="Normal"/>
    <w:link w:val="Ttulo2Car"/>
    <w:uiPriority w:val="9"/>
    <w:unhideWhenUsed/>
    <w:qFormat/>
    <w:pPr>
      <w:spacing w:before="240"/>
      <w:jc w:val="left"/>
      <w:outlineLvl w:val="1"/>
    </w:pPr>
    <w:rPr>
      <w:sz w:val="24"/>
    </w:rPr>
  </w:style>
  <w:style w:type="paragraph" w:styleId="Ttulo3">
    <w:name w:val="heading 3"/>
    <w:basedOn w:val="Subttulo"/>
    <w:next w:val="Normal"/>
    <w:link w:val="Ttulo3Car"/>
    <w:uiPriority w:val="9"/>
    <w:semiHidden/>
    <w:unhideWhenUsed/>
    <w:qFormat/>
    <w:pPr>
      <w:outlineLvl w:val="2"/>
    </w:pPr>
  </w:style>
  <w:style w:type="paragraph" w:styleId="Ttulo4">
    <w:name w:val="heading 4"/>
    <w:basedOn w:val="Normal"/>
    <w:next w:val="Normal"/>
    <w:link w:val="Ttulo4C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next w:val="Normal"/>
    <w:link w:val="SubttuloCar"/>
    <w:uiPriority w:val="11"/>
    <w:qFormat/>
    <w:pPr>
      <w:spacing w:before="120" w:after="60" w:line="240" w:lineRule="auto"/>
    </w:pPr>
    <w:rPr>
      <w:b/>
      <w:i/>
    </w:rPr>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paragraph" w:styleId="Textoindependiente">
    <w:name w:val="Body Text"/>
    <w:basedOn w:val="Normal"/>
    <w:link w:val="TextoindependienteCar"/>
    <w:uiPriority w:val="1"/>
    <w:qFormat/>
    <w:pPr>
      <w:widowControl w:val="0"/>
      <w:autoSpaceDE w:val="0"/>
      <w:autoSpaceDN w:val="0"/>
      <w:spacing w:after="0" w:line="240" w:lineRule="auto"/>
      <w:ind w:left="255"/>
      <w:jc w:val="both"/>
    </w:pPr>
    <w:rPr>
      <w:rFonts w:ascii="Times New Roman" w:eastAsia="Times New Roman" w:hAnsi="Times New Roman" w:cs="Times New Roman"/>
      <w:sz w:val="24"/>
      <w:szCs w:val="24"/>
      <w:lang w:val="es-ES"/>
    </w:rPr>
  </w:style>
  <w:style w:type="character" w:styleId="Refdecomentario">
    <w:name w:val="annotation reference"/>
    <w:basedOn w:val="Fuentedeprrafopredeter"/>
    <w:uiPriority w:val="99"/>
    <w:semiHidden/>
    <w:unhideWhenUsed/>
    <w:qFormat/>
    <w:rPr>
      <w:sz w:val="16"/>
      <w:szCs w:val="16"/>
    </w:rPr>
  </w:style>
  <w:style w:type="paragraph" w:styleId="Textocomentario">
    <w:name w:val="annotation text"/>
    <w:basedOn w:val="Normal"/>
    <w:link w:val="TextocomentarioCar"/>
    <w:uiPriority w:val="99"/>
    <w:semiHidden/>
    <w:unhideWhenUsed/>
    <w:qFormat/>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character" w:styleId="nfasis">
    <w:name w:val="Emphasis"/>
    <w:basedOn w:val="Fuentedeprrafopredeter"/>
    <w:uiPriority w:val="20"/>
    <w:qFormat/>
    <w:rPr>
      <w:i/>
      <w:iCs/>
    </w:rPr>
  </w:style>
  <w:style w:type="character" w:styleId="Hipervnculovisitado">
    <w:name w:val="FollowedHyperlink"/>
    <w:uiPriority w:val="99"/>
    <w:semiHidden/>
    <w:unhideWhenUsed/>
    <w:rPr>
      <w:color w:val="800080"/>
      <w:u w:val="single"/>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character" w:styleId="Hipervnculo">
    <w:name w:val="Hyperlink"/>
    <w:basedOn w:val="Fuentedeprrafopredeter"/>
    <w:uiPriority w:val="99"/>
    <w:qFormat/>
    <w:rPr>
      <w:color w:val="0563C1"/>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character" w:styleId="Nmerodepgina">
    <w:name w:val="page number"/>
    <w:basedOn w:val="Fuentedeprrafopredeter"/>
    <w:uiPriority w:val="99"/>
    <w:unhideWhenUsed/>
    <w:qFormat/>
  </w:style>
  <w:style w:type="character" w:styleId="Textoennegrita">
    <w:name w:val="Strong"/>
    <w:basedOn w:val="Fuentedeprrafopredeter"/>
    <w:uiPriority w:val="22"/>
    <w:qFormat/>
    <w:rPr>
      <w:b/>
      <w:bCs/>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Ttulo1"/>
    <w:next w:val="Normal"/>
    <w:link w:val="TtuloCar"/>
    <w:uiPriority w:val="10"/>
    <w:qFormat/>
    <w:rPr>
      <w:rFonts w:ascii="Times New Roman" w:hAnsi="Times New Roman"/>
      <w:b w:val="0"/>
      <w:bCs w:val="0"/>
    </w:rPr>
  </w:style>
  <w:style w:type="table" w:customStyle="1" w:styleId="TableNormal11">
    <w:name w:val="Table Normal11"/>
    <w:qFormat/>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character" w:customStyle="1" w:styleId="TextocomentarioCar">
    <w:name w:val="Texto comentario Car"/>
    <w:basedOn w:val="Fuentedeprrafopredeter"/>
    <w:link w:val="Textocomentario"/>
    <w:uiPriority w:val="99"/>
    <w:semiHidden/>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character" w:customStyle="1" w:styleId="Ttulo1Car">
    <w:name w:val="Título 1 Car"/>
    <w:basedOn w:val="Fuentedeprrafopredeter"/>
    <w:link w:val="Ttulo1"/>
    <w:uiPriority w:val="9"/>
    <w:qFormat/>
    <w:rPr>
      <w:rFonts w:asciiTheme="minorHAnsi" w:eastAsia="Times New Roman" w:hAnsiTheme="minorHAnsi" w:cs="Times New Roman"/>
      <w:b/>
      <w:bCs/>
      <w:sz w:val="28"/>
      <w:szCs w:val="28"/>
      <w:lang w:val="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Prrafodelista">
    <w:name w:val="List Paragraph"/>
    <w:basedOn w:val="Normal"/>
    <w:link w:val="PrrafodelistaCar"/>
    <w:uiPriority w:val="1"/>
    <w:qFormat/>
    <w:pPr>
      <w:ind w:left="720"/>
      <w:contextualSpacing/>
    </w:pPr>
  </w:style>
  <w:style w:type="character" w:customStyle="1" w:styleId="Ttulo4Car">
    <w:name w:val="Título 4 Car"/>
    <w:basedOn w:val="Fuentedeprrafopredeter"/>
    <w:link w:val="Ttulo4"/>
    <w:uiPriority w:val="9"/>
    <w:semiHidden/>
    <w:qFormat/>
    <w:rPr>
      <w:rFonts w:asciiTheme="majorHAnsi" w:eastAsiaTheme="majorEastAsia" w:hAnsiTheme="majorHAnsi" w:cstheme="majorBidi"/>
      <w:i/>
      <w:iCs/>
      <w:color w:val="365F91" w:themeColor="accent1" w:themeShade="BF"/>
    </w:rPr>
  </w:style>
  <w:style w:type="character" w:customStyle="1" w:styleId="TextoindependienteCar">
    <w:name w:val="Texto independiente Car"/>
    <w:basedOn w:val="Fuentedeprrafopredeter"/>
    <w:link w:val="Textoindependiente"/>
    <w:uiPriority w:val="1"/>
    <w:qFormat/>
    <w:rPr>
      <w:rFonts w:ascii="Times New Roman" w:eastAsia="Times New Roman" w:hAnsi="Times New Roman" w:cs="Times New Roman"/>
      <w:sz w:val="24"/>
      <w:szCs w:val="24"/>
      <w:lang w:val="es-ES"/>
    </w:rPr>
  </w:style>
  <w:style w:type="character" w:customStyle="1" w:styleId="TtuloCar">
    <w:name w:val="Título Car"/>
    <w:basedOn w:val="Fuentedeprrafopredeter"/>
    <w:link w:val="Ttulo"/>
    <w:uiPriority w:val="10"/>
    <w:qFormat/>
    <w:rPr>
      <w:rFonts w:ascii="Times New Roman" w:eastAsia="Times New Roman" w:hAnsi="Times New Roman" w:cs="Times New Roman"/>
      <w:b/>
      <w:bCs/>
      <w:sz w:val="32"/>
      <w:szCs w:val="32"/>
      <w:lang w:val="es-ES"/>
    </w:rPr>
  </w:style>
  <w:style w:type="character" w:customStyle="1" w:styleId="SubttuloCar">
    <w:name w:val="Subtítulo Car"/>
    <w:basedOn w:val="Fuentedeprrafopredeter"/>
    <w:link w:val="Subttulo"/>
    <w:uiPriority w:val="11"/>
    <w:qFormat/>
    <w:rPr>
      <w:rFonts w:asciiTheme="minorHAnsi" w:hAnsiTheme="minorHAnsi" w:cs="Times New Roman"/>
      <w:b/>
      <w:i/>
      <w:szCs w:val="24"/>
      <w:lang w:val="es-ES"/>
    </w:rPr>
  </w:style>
  <w:style w:type="paragraph" w:customStyle="1" w:styleId="Autores">
    <w:name w:val="Autores"/>
    <w:basedOn w:val="Normal"/>
    <w:link w:val="AutoresCar"/>
    <w:qFormat/>
    <w:pPr>
      <w:spacing w:after="0" w:line="240" w:lineRule="auto"/>
      <w:ind w:left="-113"/>
    </w:pPr>
    <w:rPr>
      <w:rFonts w:ascii="Times New Roman" w:hAnsi="Times New Roman" w:cs="Times New Roman"/>
      <w:b/>
      <w:sz w:val="24"/>
      <w:szCs w:val="24"/>
    </w:rPr>
  </w:style>
  <w:style w:type="character" w:customStyle="1" w:styleId="AutoresCar">
    <w:name w:val="Autores Car"/>
    <w:basedOn w:val="Fuentedeprrafopredeter"/>
    <w:link w:val="Autores"/>
    <w:qFormat/>
    <w:rPr>
      <w:rFonts w:ascii="Times New Roman" w:hAnsi="Times New Roman" w:cs="Times New Roman"/>
      <w:b/>
      <w:sz w:val="24"/>
      <w:szCs w:val="24"/>
    </w:rPr>
  </w:style>
  <w:style w:type="paragraph" w:customStyle="1" w:styleId="ResumenTX">
    <w:name w:val="Resumen_TX"/>
    <w:basedOn w:val="Normal"/>
    <w:link w:val="ResumenTXCar"/>
    <w:qFormat/>
    <w:pPr>
      <w:spacing w:before="120" w:after="120" w:line="240" w:lineRule="auto"/>
      <w:jc w:val="both"/>
    </w:pPr>
    <w:rPr>
      <w:rFonts w:asciiTheme="minorHAnsi" w:hAnsiTheme="minorHAnsi" w:cs="Times New Roman"/>
      <w:sz w:val="18"/>
      <w:szCs w:val="20"/>
      <w:lang w:val="es-ES"/>
    </w:rPr>
  </w:style>
  <w:style w:type="paragraph" w:customStyle="1" w:styleId="Filiacion">
    <w:name w:val="Filiacion"/>
    <w:basedOn w:val="Normal"/>
    <w:link w:val="FiliacionCar"/>
    <w:qFormat/>
    <w:pPr>
      <w:widowControl w:val="0"/>
      <w:numPr>
        <w:numId w:val="1"/>
      </w:numPr>
      <w:pBdr>
        <w:bottom w:val="single" w:sz="12" w:space="1" w:color="auto"/>
      </w:pBdr>
      <w:tabs>
        <w:tab w:val="left" w:pos="471"/>
      </w:tabs>
      <w:autoSpaceDE w:val="0"/>
      <w:autoSpaceDN w:val="0"/>
      <w:spacing w:before="60" w:after="60" w:line="240" w:lineRule="auto"/>
      <w:ind w:left="215"/>
    </w:pPr>
    <w:rPr>
      <w:rFonts w:asciiTheme="minorHAnsi" w:eastAsia="Times New Roman" w:hAnsiTheme="minorHAnsi" w:cs="Times New Roman"/>
      <w:sz w:val="16"/>
      <w:lang w:val="es-ES"/>
    </w:rPr>
  </w:style>
  <w:style w:type="character" w:customStyle="1" w:styleId="ResumenTXCar">
    <w:name w:val="Resumen_TX Car"/>
    <w:basedOn w:val="Fuentedeprrafopredeter"/>
    <w:link w:val="ResumenTX"/>
    <w:qFormat/>
    <w:rPr>
      <w:rFonts w:asciiTheme="minorHAnsi" w:hAnsiTheme="minorHAnsi" w:cs="Times New Roman"/>
      <w:sz w:val="18"/>
      <w:szCs w:val="20"/>
      <w:lang w:val="es-ES"/>
    </w:rPr>
  </w:style>
  <w:style w:type="character" w:customStyle="1" w:styleId="Ttulo2Car">
    <w:name w:val="Título 2 Car"/>
    <w:basedOn w:val="Fuentedeprrafopredeter"/>
    <w:link w:val="Ttulo2"/>
    <w:uiPriority w:val="9"/>
    <w:qFormat/>
    <w:rPr>
      <w:rFonts w:asciiTheme="minorHAnsi" w:eastAsia="Times New Roman" w:hAnsiTheme="minorHAnsi" w:cs="Times New Roman"/>
      <w:b/>
      <w:bCs/>
      <w:sz w:val="24"/>
      <w:szCs w:val="28"/>
      <w:lang w:val="es-ES"/>
    </w:rPr>
  </w:style>
  <w:style w:type="character" w:customStyle="1" w:styleId="FiliacionCar">
    <w:name w:val="Filiacion Car"/>
    <w:basedOn w:val="Fuentedeprrafopredeter"/>
    <w:link w:val="Filiacion"/>
    <w:qFormat/>
    <w:rPr>
      <w:rFonts w:asciiTheme="minorHAnsi" w:eastAsia="Times New Roman" w:hAnsiTheme="minorHAnsi" w:cs="Times New Roman"/>
      <w:sz w:val="16"/>
      <w:lang w:val="es-ES"/>
    </w:rPr>
  </w:style>
  <w:style w:type="paragraph" w:customStyle="1" w:styleId="Referencias">
    <w:name w:val="Referencias"/>
    <w:basedOn w:val="Normal"/>
    <w:link w:val="ReferenciasCar"/>
    <w:qFormat/>
    <w:pPr>
      <w:spacing w:before="60" w:after="60" w:line="240" w:lineRule="auto"/>
      <w:ind w:left="720" w:hanging="720"/>
      <w:jc w:val="both"/>
    </w:pPr>
    <w:rPr>
      <w:rFonts w:asciiTheme="minorHAnsi" w:hAnsiTheme="minorHAnsi" w:cs="Times New Roman"/>
      <w:szCs w:val="24"/>
      <w:lang w:val="es-ES"/>
    </w:rPr>
  </w:style>
  <w:style w:type="character" w:customStyle="1" w:styleId="ReferenciasCar">
    <w:name w:val="Referencias Car"/>
    <w:basedOn w:val="Fuentedeprrafopredeter"/>
    <w:link w:val="Referencias"/>
    <w:qFormat/>
    <w:rPr>
      <w:rFonts w:asciiTheme="minorHAnsi" w:hAnsiTheme="minorHAnsi" w:cs="Times New Roman"/>
      <w:szCs w:val="24"/>
      <w:lang w:val="es-ES"/>
    </w:rPr>
  </w:style>
  <w:style w:type="character" w:customStyle="1" w:styleId="Ttulo3Car">
    <w:name w:val="Título 3 Car"/>
    <w:basedOn w:val="Fuentedeprrafopredeter"/>
    <w:link w:val="Ttulo3"/>
    <w:uiPriority w:val="9"/>
    <w:qFormat/>
    <w:rPr>
      <w:rFonts w:asciiTheme="minorHAnsi" w:hAnsiTheme="minorHAnsi" w:cs="Times New Roman"/>
      <w:b/>
      <w:i/>
      <w:szCs w:val="24"/>
      <w:lang w:val="es-ES"/>
    </w:rPr>
  </w:style>
  <w:style w:type="table" w:customStyle="1" w:styleId="TableNormal1">
    <w:name w:val="Table Normal1"/>
    <w:uiPriority w:val="2"/>
    <w:semiHidden/>
    <w:unhideWhenUsed/>
    <w:qFormat/>
    <w:pPr>
      <w:widowControl w:val="0"/>
      <w:autoSpaceDE w:val="0"/>
      <w:autoSpaceDN w:val="0"/>
    </w:pPr>
    <w:rPr>
      <w:rFonts w:asciiTheme="minorHAnsi" w:eastAsiaTheme="minorHAnsi" w:hAnsiTheme="minorHAnsi" w:cstheme="minorBidi"/>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lang w:val="es-ES"/>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Ninguno">
    <w:name w:val="Ninguno"/>
    <w:qFormat/>
  </w:style>
  <w:style w:type="table" w:customStyle="1" w:styleId="Style52">
    <w:name w:val="_Style 52"/>
    <w:basedOn w:val="TableNormal2"/>
    <w:qFormat/>
    <w:tblPr>
      <w:tblCellMar>
        <w:left w:w="108" w:type="dxa"/>
        <w:right w:w="108" w:type="dxa"/>
      </w:tblCellMar>
    </w:tblPr>
  </w:style>
  <w:style w:type="table" w:customStyle="1" w:styleId="Style53">
    <w:name w:val="_Style 53"/>
    <w:basedOn w:val="TableNormal2"/>
    <w:qFormat/>
    <w:tblPr>
      <w:tblCellMar>
        <w:left w:w="108" w:type="dxa"/>
        <w:right w:w="108" w:type="dxa"/>
      </w:tblCellMar>
    </w:tblPr>
  </w:style>
  <w:style w:type="table" w:customStyle="1" w:styleId="Style54">
    <w:name w:val="_Style 54"/>
    <w:basedOn w:val="TableNormal2"/>
    <w:qFormat/>
    <w:tblPr>
      <w:tblCellMar>
        <w:left w:w="70" w:type="dxa"/>
        <w:right w:w="70" w:type="dxa"/>
      </w:tblCellMar>
    </w:tblPr>
  </w:style>
  <w:style w:type="table" w:customStyle="1" w:styleId="Style55">
    <w:name w:val="_Style 55"/>
    <w:basedOn w:val="TableNormal2"/>
    <w:qFormat/>
    <w:tblPr>
      <w:tblCellMar>
        <w:left w:w="115" w:type="dxa"/>
        <w:right w:w="115" w:type="dxa"/>
      </w:tblCellMar>
    </w:tblPr>
  </w:style>
  <w:style w:type="character" w:customStyle="1" w:styleId="Mencinsinresolver3">
    <w:name w:val="Mención sin resolver3"/>
    <w:basedOn w:val="Fuentedeprrafopredeter"/>
    <w:uiPriority w:val="99"/>
    <w:semiHidden/>
    <w:unhideWhenUsed/>
    <w:qFormat/>
    <w:rPr>
      <w:color w:val="605E5C"/>
      <w:shd w:val="clear" w:color="auto" w:fill="E1DFDD"/>
    </w:rPr>
  </w:style>
  <w:style w:type="table" w:customStyle="1" w:styleId="Style57">
    <w:name w:val="_Style 57"/>
    <w:basedOn w:val="TableNormal2"/>
    <w:qFormat/>
    <w:tblPr>
      <w:tblCellMar>
        <w:left w:w="115" w:type="dxa"/>
        <w:right w:w="115" w:type="dxa"/>
      </w:tblCellMar>
    </w:tblPr>
  </w:style>
  <w:style w:type="table" w:customStyle="1" w:styleId="Style58">
    <w:name w:val="_Style 58"/>
    <w:basedOn w:val="TableNormal2"/>
    <w:qFormat/>
    <w:tblPr>
      <w:tblCellMar>
        <w:left w:w="115" w:type="dxa"/>
        <w:right w:w="115" w:type="dxa"/>
      </w:tblCellMar>
    </w:tblPr>
  </w:style>
  <w:style w:type="table" w:customStyle="1" w:styleId="Style59">
    <w:name w:val="_Style 59"/>
    <w:basedOn w:val="TableNormal2"/>
    <w:qFormat/>
    <w:tblPr>
      <w:tblCellMar>
        <w:left w:w="115" w:type="dxa"/>
        <w:right w:w="115" w:type="dxa"/>
      </w:tblCellMar>
    </w:tblPr>
  </w:style>
  <w:style w:type="table" w:customStyle="1" w:styleId="Style60">
    <w:name w:val="_Style 60"/>
    <w:basedOn w:val="TableNormal2"/>
    <w:qFormat/>
    <w:tblPr>
      <w:tblCellMar>
        <w:left w:w="115" w:type="dxa"/>
        <w:right w:w="115" w:type="dxa"/>
      </w:tblCellMar>
    </w:tblPr>
  </w:style>
  <w:style w:type="paragraph" w:customStyle="1" w:styleId="Bibliografa1">
    <w:name w:val="Bibliografía1"/>
    <w:basedOn w:val="Normal"/>
    <w:next w:val="Normal"/>
    <w:uiPriority w:val="37"/>
    <w:unhideWhenUsed/>
    <w:qFormat/>
  </w:style>
  <w:style w:type="paragraph" w:customStyle="1" w:styleId="Revisin1">
    <w:name w:val="Revisión1"/>
    <w:hidden/>
    <w:uiPriority w:val="99"/>
    <w:unhideWhenUsed/>
    <w:qFormat/>
    <w:rPr>
      <w:rFonts w:ascii="Calibri" w:eastAsia="Calibri" w:hAnsi="Calibri" w:cs="Calibri"/>
      <w:sz w:val="22"/>
      <w:szCs w:val="22"/>
      <w:lang w:val="en-US" w:eastAsia="en-US"/>
    </w:rPr>
  </w:style>
  <w:style w:type="paragraph" w:customStyle="1" w:styleId="Bibliografa2">
    <w:name w:val="Bibliografía2"/>
    <w:basedOn w:val="Normal"/>
    <w:next w:val="Normal"/>
    <w:uiPriority w:val="37"/>
    <w:unhideWhenUsed/>
    <w:qFormat/>
    <w:pPr>
      <w:spacing w:after="0" w:line="480" w:lineRule="auto"/>
      <w:ind w:left="720" w:hanging="720"/>
    </w:pPr>
  </w:style>
  <w:style w:type="character" w:customStyle="1" w:styleId="PrrafodelistaCar">
    <w:name w:val="Párrafo de lista Car"/>
    <w:basedOn w:val="Fuentedeprrafopredeter"/>
    <w:link w:val="Prrafodelista"/>
    <w:uiPriority w:val="1"/>
    <w:qFormat/>
    <w:rPr>
      <w:rFonts w:ascii="Calibri" w:eastAsia="Calibri" w:hAnsi="Calibri" w:cs="Calibri"/>
      <w:sz w:val="22"/>
      <w:szCs w:val="22"/>
      <w:lang w:val="en-US" w:eastAsia="en-US"/>
    </w:rPr>
  </w:style>
  <w:style w:type="character" w:styleId="Textodelmarcadordeposicin">
    <w:name w:val="Placeholder Text"/>
    <w:basedOn w:val="Fuentedeprrafopredeter"/>
    <w:uiPriority w:val="99"/>
    <w:unhideWhenUsed/>
    <w:rPr>
      <w:color w:val="666666"/>
    </w:rPr>
  </w:style>
  <w:style w:type="character" w:customStyle="1" w:styleId="Mencinsinresolver4">
    <w:name w:val="Mención sin resolver4"/>
    <w:basedOn w:val="Fuentedeprrafopredeter"/>
    <w:uiPriority w:val="99"/>
    <w:semiHidden/>
    <w:unhideWhenUsed/>
    <w:rPr>
      <w:color w:val="605E5C"/>
      <w:shd w:val="clear" w:color="auto" w:fill="E1DFDD"/>
    </w:rPr>
  </w:style>
  <w:style w:type="table" w:customStyle="1" w:styleId="Tablanormal31">
    <w:name w:val="Tabla normal 31"/>
    <w:basedOn w:val="Tablanormal"/>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1">
    <w:name w:val="Tabla normal1"/>
    <w:semiHidden/>
    <w:rPr>
      <w:lang w:eastAsia="es-MX"/>
    </w:rPr>
    <w:tblPr>
      <w:tblCellMar>
        <w:top w:w="0" w:type="dxa"/>
        <w:left w:w="100" w:type="dxa"/>
        <w:bottom w:w="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pswilsonsaavedra@gmail.com" TargetMode="External"/><Relationship Id="rId18" Type="http://schemas.openxmlformats.org/officeDocument/2006/relationships/hyperlink" Target="https://orcid.org/0000-0002-2611-8467" TargetMode="External"/><Relationship Id="rId26" Type="http://schemas.openxmlformats.org/officeDocument/2006/relationships/hyperlink" Target="https://doi.org/10.4067/S0718-50062019000400027" TargetMode="External"/><Relationship Id="rId39" Type="http://schemas.openxmlformats.org/officeDocument/2006/relationships/header" Target="header1.xml"/><Relationship Id="rId21" Type="http://schemas.openxmlformats.org/officeDocument/2006/relationships/hyperlink" Target="https://orcid.org/0009-0009-9905-1812" TargetMode="External"/><Relationship Id="rId34" Type="http://schemas.openxmlformats.org/officeDocument/2006/relationships/hyperlink" Target="https://doi.org/10.30545/academo.2024.ene-abr.2" TargetMode="External"/><Relationship Id="rId42"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orcid.org/0000-0002-8169-220" TargetMode="External"/><Relationship Id="rId29" Type="http://schemas.openxmlformats.org/officeDocument/2006/relationships/hyperlink" Target="https://doi.org/10.18667/cienciaypoderaereo.70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s://doi.org/10.56048/mqr20225.7.4.2023.3003-3014" TargetMode="External"/><Relationship Id="rId32" Type="http://schemas.openxmlformats.org/officeDocument/2006/relationships/hyperlink" Target="https://doi.org/10.4067/S0718-50062020000400093" TargetMode="External"/><Relationship Id="rId37" Type="http://schemas.openxmlformats.org/officeDocument/2006/relationships/hyperlink" Target="https://doi.org/10.4067/S0718-50062024000600089"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https://doi.org/10.56712/latam.v5i1.1595" TargetMode="External"/><Relationship Id="rId28" Type="http://schemas.openxmlformats.org/officeDocument/2006/relationships/hyperlink" Target="https://doi.org/10.4067/S0718-50062024000300083" TargetMode="External"/><Relationship Id="rId36" Type="http://schemas.openxmlformats.org/officeDocument/2006/relationships/hyperlink" Target="https://doi.org/10.18848/2327-7955/CGP/v32i01/55-79" TargetMode="External"/><Relationship Id="rId10" Type="http://schemas.openxmlformats.org/officeDocument/2006/relationships/hyperlink" Target="https://orcid.org/0000-0001-8521-8524" TargetMode="External"/><Relationship Id="rId19" Type="http://schemas.openxmlformats.org/officeDocument/2006/relationships/hyperlink" Target="https://orcid.org/0000-0001-7835-5256" TargetMode="External"/><Relationship Id="rId31" Type="http://schemas.openxmlformats.org/officeDocument/2006/relationships/hyperlink" Target="https://doi.org/10.4067/S0718-50062025000200071" TargetMode="External"/><Relationship Id="rId44"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fcastro@ms.upla.edu.pe" TargetMode="External"/><Relationship Id="rId22" Type="http://schemas.openxmlformats.org/officeDocument/2006/relationships/image" Target="media/image3.png"/><Relationship Id="rId27" Type="http://schemas.openxmlformats.org/officeDocument/2006/relationships/hyperlink" Target="https://doi.org/10.4067/S0718-50062024000300083" TargetMode="External"/><Relationship Id="rId30" Type="http://schemas.openxmlformats.org/officeDocument/2006/relationships/hyperlink" Target="https://doi.org/10.33064/2023docere295075" TargetMode="External"/><Relationship Id="rId35" Type="http://schemas.openxmlformats.org/officeDocument/2006/relationships/hyperlink" Target="https://doi.org/10.14482/pege.46.1805"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orcid.org/0009-0005-7352-140X" TargetMode="External"/><Relationship Id="rId17" Type="http://schemas.openxmlformats.org/officeDocument/2006/relationships/hyperlink" Target="https://orcid.org/0000-0001-9758-699X" TargetMode="External"/><Relationship Id="rId25" Type="http://schemas.openxmlformats.org/officeDocument/2006/relationships/hyperlink" Target="https://doi.org/10.37811/cl_rcm.v8i1.9929" TargetMode="External"/><Relationship Id="rId33" Type="http://schemas.openxmlformats.org/officeDocument/2006/relationships/hyperlink" Target="https://doi.org/10.4067/S0718-50062018000100045" TargetMode="External"/><Relationship Id="rId38" Type="http://schemas.openxmlformats.org/officeDocument/2006/relationships/hyperlink" Target="https://doi.org/10.33262/anatomiadigital.v7i1.2843" TargetMode="External"/><Relationship Id="rId20" Type="http://schemas.openxmlformats.org/officeDocument/2006/relationships/hyperlink" Target="http://orcid.org/0000-0002-8169-220" TargetMode="External"/><Relationship Id="rId41"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hyperlink" Target="http://revista.investigaciondetecnologias.com/index.php/e-RMS/inde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43D9A74-10D1-2249-8550-906D1ACBAC54}"/>
      </w:docPartPr>
      <w:docPartBody>
        <w:p w:rsidR="002A39F8" w:rsidRDefault="00000000">
          <w:r>
            <w:rPr>
              <w:rStyle w:val="Textodelmarcadordeposicin"/>
            </w:rPr>
            <w:t>Haz clic o pulse aquí para escribir texto.</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20F4B" w:rsidRDefault="00220F4B">
      <w:pPr>
        <w:spacing w:line="240" w:lineRule="auto"/>
      </w:pPr>
      <w:r>
        <w:separator/>
      </w:r>
    </w:p>
  </w:endnote>
  <w:endnote w:type="continuationSeparator" w:id="0">
    <w:p w:rsidR="00220F4B" w:rsidRDefault="00220F4B">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default"/>
    <w:sig w:usb0="E1002EFF" w:usb1="C000605B" w:usb2="00000029" w:usb3="00000000" w:csb0="200101FF" w:csb1="20280000"/>
  </w:font>
  <w:font w:name="Nunito">
    <w:altName w:val="Segoe Print"/>
    <w:charset w:val="4D"/>
    <w:family w:val="auto"/>
    <w:pitch w:val="default"/>
    <w:sig w:usb0="00000000" w:usb1="00000000" w:usb2="00000000" w:usb3="00000000" w:csb0="00000197" w:csb1="00000000"/>
  </w:font>
  <w:font w:name="sans-serif">
    <w:altName w:val="Segoe Print"/>
    <w:charset w:val="00"/>
    <w:family w:val="auto"/>
    <w:pitch w:val="default"/>
  </w:font>
  <w:font w:name="DengXian">
    <w:altName w:val="等线"/>
    <w:panose1 w:val="02010600030101010101"/>
    <w:charset w:val="86"/>
    <w:family w:val="auto"/>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20F4B" w:rsidRDefault="00220F4B">
      <w:pPr>
        <w:spacing w:after="0"/>
      </w:pPr>
      <w:r>
        <w:separator/>
      </w:r>
    </w:p>
  </w:footnote>
  <w:footnote w:type="continuationSeparator" w:id="0">
    <w:p w:rsidR="00220F4B" w:rsidRDefault="00220F4B">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E2"/>
    <w:rsid w:val="00001916"/>
    <w:rsid w:val="00220F4B"/>
    <w:rsid w:val="002A39F8"/>
    <w:rsid w:val="002E7B9F"/>
    <w:rsid w:val="005D1DE2"/>
    <w:rsid w:val="007D2BFC"/>
    <w:rsid w:val="007D6BDA"/>
    <w:rsid w:val="00CD0A8C"/>
    <w:rsid w:val="00FB0562"/>
  </w:rsids>
  <m:mathPr>
    <m:mathFont m:val="Cambria Math"/>
    <m:brkBin m:val="before"/>
    <m:brkBinSub m:val="--"/>
    <m:smallFrac m:val="0"/>
    <m:dispDef/>
    <m:lMargin m:val="0"/>
    <m:rMargin m:val="0"/>
    <m:defJc m:val="centerGroup"/>
    <m:wrapIndent m:val="1440"/>
    <m:intLim m:val="subSup"/>
    <m:naryLim m:val="undOvr"/>
  </m:mathPr>
  <w:themeFontLang w:val="es-PE"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VE" w:eastAsia="es-VE"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es-PE" w:eastAsia="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unhideWhenUse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amOivwInS2yxRToP+oeBqZe1gg==">CgMxLjAyCWlkLmdqZGd4czIJaC4zMGowemxsMgloLjFmb2I5dGU4AHIhMXJSaVRoMTlLS0xxVGZMeW84b2RIemdPUTdFc0Y3OHh2</go:docsCustomData>
</go:gDocsCustomXmlDataStorage>
</file>

<file path=customXml/itemProps1.xml><?xml version="1.0" encoding="utf-8"?>
<ds:datastoreItem xmlns:ds="http://schemas.openxmlformats.org/officeDocument/2006/customXml" ds:itemID="{5F88DB02-B600-4C40-A88D-8F8EECDFC41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4977</Words>
  <Characters>27376</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Lipselotte Infante</dc:creator>
  <cp:lastModifiedBy>Admin</cp:lastModifiedBy>
  <cp:revision>4</cp:revision>
  <cp:lastPrinted>2025-05-31T17:07:00Z</cp:lastPrinted>
  <dcterms:created xsi:type="dcterms:W3CDTF">2025-08-23T18:02:00Z</dcterms:created>
  <dcterms:modified xsi:type="dcterms:W3CDTF">2025-08-23T18:12:00Z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73A7882E3E334C10A0D80EDF68CE4B60_13</vt:lpwstr>
  </property>
  <property fmtid="{D5CDD505-2E9C-101B-9397-08002B2CF9AE}" pid="3" name="KSOProductBuildVer">
    <vt:lpwstr>1033-12.2.0.21931</vt:lpwstr>
  </property>
  <property fmtid="{D5CDD505-2E9C-101B-9397-08002B2CF9AE}" pid="4" name="ZOTERO_PREF_1">
    <vt:lpwstr>&lt;data data-version="3" zotero-version="6.0.36"&gt;&lt;session id="m578aAOg"/&gt;&lt;style id="http://www.zotero.org/styles/apa" locale="es-ES" hasBibliography="1" bibliographyStyleHasBeenSet="1"/&gt;&lt;prefs&gt;&lt;pref name="fieldType" value="Field"/&gt;&lt;/prefs&gt;&lt;/data&gt;</vt:lpwstr>
  </property>
  <property fmtid="{D5CDD505-2E9C-101B-9397-08002B2CF9AE}" pid="5" name="GrammarlyDocumentId">
    <vt:lpwstr>d481483b-7027-4422-9a56-5d8ba87e179e</vt:lpwstr>
  </property>
  <property fmtid="{D5CDD505-2E9C-101B-9397-08002B2CF9AE}" pid="6" name="MSIP_Label_defa4170-0d19-0005-0004-bc88714345d2_Enabled">
    <vt:lpwstr>true</vt:lpwstr>
  </property>
  <property fmtid="{D5CDD505-2E9C-101B-9397-08002B2CF9AE}" pid="7" name="MSIP_Label_defa4170-0d19-0005-0004-bc88714345d2_SetDate">
    <vt:lpwstr>2025-07-27T15:26:55Z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e4c17908-c14d-44d8-b8eb-109f609a7e57</vt:lpwstr>
  </property>
  <property fmtid="{D5CDD505-2E9C-101B-9397-08002B2CF9AE}" pid="11" name="MSIP_Label_defa4170-0d19-0005-0004-bc88714345d2_ActionId">
    <vt:lpwstr>88395fa2-e3e8-4b74-9d99-59384c5d43a6</vt:lpwstr>
  </property>
  <property fmtid="{D5CDD505-2E9C-101B-9397-08002B2CF9AE}" pid="12" name="MSIP_Label_defa4170-0d19-0005-0004-bc88714345d2_ContentBits">
    <vt:lpwstr>0</vt:lpwstr>
  </property>
  <property fmtid="{D5CDD505-2E9C-101B-9397-08002B2CF9AE}" pid="13" name="MSIP_Label_defa4170-0d19-0005-0004-bc88714345d2_Tag">
    <vt:lpwstr>50, 3, 0, 1</vt:lpwstr>
  </property>
</Properties>
</file>