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4"/>
        <w:tblW w:w="949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97"/>
        <w:gridCol w:w="4801"/>
      </w:tblGrid>
      <w:tr w14:paraId="11297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97" w:type="dxa"/>
          </w:tcPr>
          <w:p w14:paraId="078ACA4A">
            <w:pPr>
              <w:spacing w:before="60" w:after="60" w:line="240" w:lineRule="auto"/>
              <w:ind w:left="-57"/>
              <w:rPr>
                <w:rFonts w:eastAsia="Times New Roman" w:asciiTheme="minorHAnsi" w:hAnsiTheme="minorHAnsi" w:cstheme="minorHAnsi"/>
                <w:bCs/>
                <w:iCs/>
                <w:color w:val="558ED5" w:themeColor="text2" w:themeTint="99"/>
                <w:sz w:val="16"/>
                <w:szCs w:val="16"/>
                <w:lang w:val="es-VE"/>
                <w14:textFill>
                  <w14:solidFill>
                    <w14:schemeClr w14:val="tx2">
                      <w14:lumMod w14:val="60000"/>
                      <w14:lumOff w14:val="40000"/>
                    </w14:schemeClr>
                  </w14:solidFill>
                </w14:textFill>
              </w:rPr>
            </w:pPr>
            <w:r>
              <w:rPr>
                <w:rFonts w:asciiTheme="minorHAnsi" w:hAnsiTheme="minorHAnsi" w:cstheme="minorHAnsi"/>
                <w:sz w:val="16"/>
                <w:szCs w:val="16"/>
              </w:rPr>
              <w:fldChar w:fldCharType="begin"/>
            </w:r>
            <w:r>
              <w:rPr>
                <w:rFonts w:asciiTheme="minorHAnsi" w:hAnsiTheme="minorHAnsi" w:cstheme="minorHAnsi"/>
                <w:sz w:val="16"/>
                <w:szCs w:val="16"/>
              </w:rPr>
              <w:instrText xml:space="preserve"> HYPERLINK "https://doi.org/10.61286/e-rms.v4i.359" </w:instrText>
            </w:r>
            <w:r>
              <w:rPr>
                <w:rFonts w:asciiTheme="minorHAnsi" w:hAnsiTheme="minorHAnsi" w:cstheme="minorHAnsi"/>
                <w:sz w:val="16"/>
                <w:szCs w:val="16"/>
              </w:rPr>
              <w:fldChar w:fldCharType="separate"/>
            </w:r>
            <w:r>
              <w:rPr>
                <w:rStyle w:val="11"/>
                <w:rFonts w:asciiTheme="minorHAnsi" w:hAnsiTheme="minorHAnsi" w:cstheme="minorHAnsi"/>
                <w:color w:val="008ACB"/>
                <w:sz w:val="16"/>
                <w:szCs w:val="16"/>
                <w:shd w:val="clear" w:color="auto" w:fill="FFFFFF"/>
              </w:rPr>
              <w:t>https://doi.org/10.61286/e-rms.v4i.359</w:t>
            </w:r>
            <w:r>
              <w:rPr>
                <w:rFonts w:asciiTheme="minorHAnsi" w:hAnsiTheme="minorHAnsi" w:cstheme="minorHAnsi"/>
                <w:sz w:val="16"/>
                <w:szCs w:val="16"/>
              </w:rPr>
              <w:fldChar w:fldCharType="end"/>
            </w:r>
          </w:p>
        </w:tc>
        <w:tc>
          <w:tcPr>
            <w:tcW w:w="4801" w:type="dxa"/>
          </w:tcPr>
          <w:p w14:paraId="727F1A86">
            <w:pPr>
              <w:pStyle w:val="2"/>
              <w:spacing w:before="60" w:after="60"/>
              <w:jc w:val="right"/>
              <w:rPr>
                <w:b w:val="0"/>
                <w:bCs w:val="0"/>
                <w:iCs/>
                <w:color w:val="558ED5" w:themeColor="text2" w:themeTint="99"/>
                <w:sz w:val="18"/>
                <w:szCs w:val="24"/>
                <w:u w:val="single"/>
                <w:lang w:val="es-VE"/>
                <w14:textFill>
                  <w14:solidFill>
                    <w14:schemeClr w14:val="tx2">
                      <w14:lumMod w14:val="60000"/>
                      <w14:lumOff w14:val="40000"/>
                    </w14:schemeClr>
                  </w14:solidFill>
                </w14:textFill>
              </w:rPr>
            </w:pPr>
            <w:r>
              <w:rPr>
                <w:rStyle w:val="10"/>
                <w:b w:val="0"/>
                <w:iCs w:val="0"/>
                <w:sz w:val="18"/>
              </w:rPr>
              <w:t>Artículo Original</w:t>
            </w:r>
          </w:p>
        </w:tc>
      </w:tr>
    </w:tbl>
    <w:p w14:paraId="2C83719F">
      <w:pPr>
        <w:jc w:val="both"/>
        <w:rPr>
          <w:rFonts w:eastAsia="Times New Roman" w:asciiTheme="minorHAnsi" w:hAnsiTheme="minorHAnsi"/>
          <w:b/>
          <w:bCs/>
          <w:sz w:val="28"/>
          <w:szCs w:val="28"/>
          <w:lang w:val="es-VE"/>
        </w:rPr>
      </w:pPr>
      <w:bookmarkStart w:id="0" w:name="التعليم_كرعاية._جودة_تنقذ"/>
      <w:bookmarkEnd w:id="0"/>
      <w:r>
        <w:rPr>
          <w:rFonts w:hint="default" w:eastAsia="Times New Roman" w:asciiTheme="minorHAnsi" w:hAnsiTheme="minorHAnsi"/>
          <w:b/>
          <w:bCs/>
          <w:sz w:val="28"/>
          <w:szCs w:val="28"/>
          <w:lang w:val="es-VE"/>
        </w:rPr>
        <w:t xml:space="preserve">La familia como núcleo de resistencia: reproducción simbólica en la rebelión de Túpac Amaru II </w:t>
      </w:r>
    </w:p>
    <w:p w14:paraId="44995D52">
      <w:pPr>
        <w:spacing w:after="0"/>
        <w:jc w:val="both"/>
        <w:rPr>
          <w:rFonts w:eastAsia="Times New Roman" w:asciiTheme="minorHAnsi" w:hAnsiTheme="minorHAnsi"/>
          <w:i/>
          <w:iCs/>
          <w:sz w:val="26"/>
          <w:szCs w:val="26"/>
        </w:rPr>
      </w:pPr>
      <w:r>
        <w:rPr>
          <w:rFonts w:hint="default" w:eastAsia="Times New Roman" w:asciiTheme="minorHAnsi" w:hAnsiTheme="minorHAnsi"/>
          <w:i/>
          <w:iCs/>
          <w:sz w:val="26"/>
          <w:szCs w:val="26"/>
        </w:rPr>
        <w:t xml:space="preserve">The family as a core of resistance: Symbolic </w:t>
      </w:r>
      <w:r>
        <w:rPr>
          <w:rFonts w:hint="default" w:eastAsia="Times New Roman" w:asciiTheme="minorHAnsi" w:hAnsiTheme="minorHAnsi"/>
          <w:i/>
          <w:iCs/>
          <w:sz w:val="26"/>
          <w:szCs w:val="26"/>
          <w:lang w:val="es-ES"/>
        </w:rPr>
        <w:t>r</w:t>
      </w:r>
      <w:r>
        <w:rPr>
          <w:rFonts w:hint="default" w:eastAsia="Times New Roman" w:asciiTheme="minorHAnsi" w:hAnsiTheme="minorHAnsi"/>
          <w:i/>
          <w:iCs/>
          <w:sz w:val="26"/>
          <w:szCs w:val="26"/>
        </w:rPr>
        <w:t xml:space="preserve">eproduction in the Túpac Amaru II </w:t>
      </w:r>
      <w:r>
        <w:rPr>
          <w:rFonts w:hint="default" w:eastAsia="Times New Roman" w:asciiTheme="minorHAnsi" w:hAnsiTheme="minorHAnsi"/>
          <w:i/>
          <w:iCs/>
          <w:sz w:val="26"/>
          <w:szCs w:val="26"/>
          <w:lang w:val="es-ES"/>
        </w:rPr>
        <w:t>r</w:t>
      </w:r>
      <w:r>
        <w:rPr>
          <w:rFonts w:hint="default" w:eastAsia="Times New Roman" w:asciiTheme="minorHAnsi" w:hAnsiTheme="minorHAnsi"/>
          <w:i/>
          <w:iCs/>
          <w:sz w:val="26"/>
          <w:szCs w:val="26"/>
        </w:rPr>
        <w:t>ebellion</w:t>
      </w:r>
    </w:p>
    <w:p w14:paraId="6F49F51E">
      <w:pPr>
        <w:spacing w:after="0" w:line="240" w:lineRule="auto"/>
        <w:jc w:val="both"/>
        <w:rPr>
          <w:rFonts w:hint="default" w:asciiTheme="minorHAnsi" w:hAnsiTheme="minorHAnsi" w:cstheme="minorHAnsi"/>
          <w:sz w:val="16"/>
          <w:szCs w:val="16"/>
          <w:lang w:val="es-ES"/>
        </w:rPr>
      </w:pPr>
      <w:r>
        <w:rPr>
          <w:rFonts w:hint="default" w:asciiTheme="minorHAnsi" w:hAnsiTheme="minorHAnsi" w:cstheme="minorHAnsi"/>
          <w:lang w:val="es-PE"/>
        </w:rPr>
        <w:t>Braulio</w:t>
      </w:r>
      <w:r>
        <w:rPr>
          <w:rFonts w:hint="default" w:asciiTheme="minorHAnsi" w:hAnsiTheme="minorHAnsi" w:cstheme="minorHAnsi"/>
          <w:lang w:val="es-ES"/>
        </w:rPr>
        <w:t>,</w:t>
      </w:r>
      <w:r>
        <w:rPr>
          <w:rFonts w:hint="default" w:asciiTheme="minorHAnsi" w:hAnsiTheme="minorHAnsi" w:cstheme="minorHAnsi"/>
          <w:lang w:val="es-PE"/>
        </w:rPr>
        <w:t xml:space="preserve"> Melchor-Acevedo</w:t>
      </w:r>
      <w:r>
        <w:rPr>
          <w:rFonts w:asciiTheme="minorHAnsi" w:hAnsiTheme="minorHAnsi" w:cstheme="minorHAnsi"/>
          <w:vertAlign w:val="superscript"/>
          <w:lang w:val="es-PE"/>
        </w:rPr>
        <w:t xml:space="preserve">1 </w:t>
      </w:r>
      <w:r>
        <w:rPr>
          <w:rFonts w:asciiTheme="minorHAnsi" w:hAnsiTheme="minorHAnsi" w:cstheme="minorHAnsi"/>
          <w:color w:val="1155CC"/>
        </w:rPr>
        <w:drawing>
          <wp:inline distT="0" distB="0" distL="0" distR="0">
            <wp:extent cx="121285" cy="121920"/>
            <wp:effectExtent l="0" t="0" r="0" b="0"/>
            <wp:docPr id="19" name="image3.png">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19" name="image3.png"/>
                    <pic:cNvPicPr preferRelativeResize="0"/>
                  </pic:nvPicPr>
                  <pic:blipFill>
                    <a:blip r:embed="rId11"/>
                    <a:srcRect/>
                    <a:stretch>
                      <a:fillRect/>
                    </a:stretch>
                  </pic:blipFill>
                  <pic:spPr>
                    <a:xfrm>
                      <a:off x="0" y="0"/>
                      <a:ext cx="121919" cy="121920"/>
                    </a:xfrm>
                    <a:prstGeom prst="rect">
                      <a:avLst/>
                    </a:prstGeom>
                  </pic:spPr>
                </pic:pic>
              </a:graphicData>
            </a:graphic>
          </wp:inline>
        </w:drawing>
      </w:r>
      <w:r>
        <w:fldChar w:fldCharType="begin"/>
      </w:r>
      <w:r>
        <w:instrText xml:space="preserve"> HYPERLINK "http://orcid.org/0009-0005-7352-140X" \h </w:instrText>
      </w:r>
      <w:r>
        <w:fldChar w:fldCharType="separate"/>
      </w:r>
      <w:r>
        <w:fldChar w:fldCharType="end"/>
      </w:r>
      <w:r>
        <w:rPr>
          <w:rFonts w:eastAsia="Times New Roman" w:asciiTheme="minorHAnsi" w:hAnsiTheme="minorHAnsi" w:cstheme="minorHAnsi"/>
          <w:lang w:val="es-PE"/>
        </w:rPr>
        <w:t xml:space="preserve"> </w:t>
      </w:r>
      <w:r>
        <w:fldChar w:fldCharType="begin"/>
      </w:r>
      <w:r>
        <w:instrText xml:space="preserve"> HYPERLINK "mailto:pswilsonsaavedra@gmail.com" \h </w:instrText>
      </w:r>
      <w:r>
        <w:fldChar w:fldCharType="separate"/>
      </w:r>
      <w:r>
        <w:rPr>
          <w:rFonts w:asciiTheme="minorHAnsi" w:hAnsiTheme="minorHAnsi" w:cstheme="minorHAnsi"/>
          <w:color w:val="1155CC"/>
        </w:rPr>
        <w:drawing>
          <wp:inline distT="0" distB="0" distL="0" distR="0">
            <wp:extent cx="220345" cy="175260"/>
            <wp:effectExtent l="0" t="0" r="8255" b="0"/>
            <wp:docPr id="1947341874" name="image1.png" descr="Sobres de correo, sobres de correo, sobre png | PNGEgg">
              <a:hlinkClick xmlns:a="http://schemas.openxmlformats.org/drawingml/2006/main" r:id="rId12"/>
            </wp:docPr>
            <wp:cNvGraphicFramePr/>
            <a:graphic xmlns:a="http://schemas.openxmlformats.org/drawingml/2006/main">
              <a:graphicData uri="http://schemas.openxmlformats.org/drawingml/2006/picture">
                <pic:pic xmlns:pic="http://schemas.openxmlformats.org/drawingml/2006/picture">
                  <pic:nvPicPr>
                    <pic:cNvPr id="1947341874" name="image1.png" descr="Sobres de correo, sobres de correo, sobre png | PNGEgg"/>
                    <pic:cNvPicPr preferRelativeResize="0"/>
                  </pic:nvPicPr>
                  <pic:blipFill>
                    <a:blip r:embed="rId13"/>
                    <a:srcRect/>
                    <a:stretch>
                      <a:fillRect/>
                    </a:stretch>
                  </pic:blipFill>
                  <pic:spPr>
                    <a:xfrm>
                      <a:off x="0" y="0"/>
                      <a:ext cx="220630" cy="175460"/>
                    </a:xfrm>
                    <a:prstGeom prst="rect">
                      <a:avLst/>
                    </a:prstGeom>
                  </pic:spPr>
                </pic:pic>
              </a:graphicData>
            </a:graphic>
          </wp:inline>
        </w:drawing>
      </w:r>
      <w:r>
        <w:rPr>
          <w:rFonts w:asciiTheme="minorHAnsi" w:hAnsiTheme="minorHAnsi" w:cstheme="minorHAnsi"/>
          <w:color w:val="1155CC"/>
        </w:rPr>
        <w:fldChar w:fldCharType="end"/>
      </w:r>
      <w:r>
        <w:rPr>
          <w:rFonts w:asciiTheme="minorHAnsi" w:hAnsiTheme="minorHAnsi" w:cstheme="minorHAnsi"/>
          <w:lang w:val="es-PE"/>
        </w:rPr>
        <w:t xml:space="preserve">; </w:t>
      </w:r>
      <w:r>
        <w:rPr>
          <w:rFonts w:hint="default" w:asciiTheme="minorHAnsi" w:hAnsiTheme="minorHAnsi" w:cstheme="minorHAnsi"/>
          <w:lang w:val="es-PE"/>
        </w:rPr>
        <w:t>Erick Jorge</w:t>
      </w:r>
      <w:r>
        <w:rPr>
          <w:rFonts w:hint="default" w:asciiTheme="minorHAnsi" w:hAnsiTheme="minorHAnsi" w:cstheme="minorHAnsi"/>
          <w:lang w:val="es-ES"/>
        </w:rPr>
        <w:t>,</w:t>
      </w:r>
      <w:r>
        <w:rPr>
          <w:rFonts w:hint="default" w:asciiTheme="minorHAnsi" w:hAnsiTheme="minorHAnsi" w:cstheme="minorHAnsi"/>
          <w:lang w:val="es-PE"/>
        </w:rPr>
        <w:t xml:space="preserve"> Ordaz-Ordoñez</w:t>
      </w:r>
      <w:r>
        <w:rPr>
          <w:rFonts w:hint="default" w:asciiTheme="minorHAnsi" w:hAnsiTheme="minorHAnsi" w:cstheme="minorHAnsi"/>
          <w:vertAlign w:val="superscript"/>
          <w:lang w:val="es-ES"/>
        </w:rPr>
        <w:t>2</w:t>
      </w:r>
      <w:r>
        <w:rPr>
          <w:rFonts w:asciiTheme="minorHAnsi" w:hAnsiTheme="minorHAnsi" w:cstheme="minorHAnsi"/>
          <w:vertAlign w:val="superscript"/>
          <w:lang w:val="es-PE"/>
        </w:rPr>
        <w:t xml:space="preserve"> </w:t>
      </w:r>
      <w:r>
        <w:rPr>
          <w:rFonts w:asciiTheme="minorHAnsi" w:hAnsiTheme="minorHAnsi" w:cstheme="minorHAnsi"/>
          <w:color w:val="1155CC"/>
        </w:rPr>
        <w:drawing>
          <wp:inline distT="0" distB="0" distL="0" distR="0">
            <wp:extent cx="121285" cy="121920"/>
            <wp:effectExtent l="0" t="0" r="0" b="0"/>
            <wp:docPr id="935570620" name="image3.png">
              <a:hlinkClick xmlns:a="http://schemas.openxmlformats.org/drawingml/2006/main" r:id="rId14"/>
            </wp:docPr>
            <wp:cNvGraphicFramePr/>
            <a:graphic xmlns:a="http://schemas.openxmlformats.org/drawingml/2006/main">
              <a:graphicData uri="http://schemas.openxmlformats.org/drawingml/2006/picture">
                <pic:pic xmlns:pic="http://schemas.openxmlformats.org/drawingml/2006/picture">
                  <pic:nvPicPr>
                    <pic:cNvPr id="935570620" name="image3.png"/>
                    <pic:cNvPicPr preferRelativeResize="0"/>
                  </pic:nvPicPr>
                  <pic:blipFill>
                    <a:blip r:embed="rId11"/>
                    <a:srcRect/>
                    <a:stretch>
                      <a:fillRect/>
                    </a:stretch>
                  </pic:blipFill>
                  <pic:spPr>
                    <a:xfrm>
                      <a:off x="0" y="0"/>
                      <a:ext cx="121919" cy="121920"/>
                    </a:xfrm>
                    <a:prstGeom prst="rect">
                      <a:avLst/>
                    </a:prstGeom>
                  </pic:spPr>
                </pic:pic>
              </a:graphicData>
            </a:graphic>
          </wp:inline>
        </w:drawing>
      </w:r>
      <w:r>
        <w:fldChar w:fldCharType="begin"/>
      </w:r>
      <w:r>
        <w:instrText xml:space="preserve"> HYPERLINK "http://orcid.org/0009-0005-7352-140X" \h </w:instrText>
      </w:r>
      <w:r>
        <w:fldChar w:fldCharType="separate"/>
      </w:r>
      <w:r>
        <w:fldChar w:fldCharType="end"/>
      </w:r>
      <w:r>
        <w:rPr>
          <w:rFonts w:asciiTheme="minorHAnsi" w:hAnsiTheme="minorHAnsi" w:cstheme="minorHAnsi"/>
          <w:lang w:val="es-PE"/>
        </w:rPr>
        <w:t xml:space="preserve">; </w:t>
      </w:r>
      <w:r>
        <w:rPr>
          <w:rFonts w:hint="default" w:asciiTheme="minorHAnsi" w:hAnsiTheme="minorHAnsi" w:cstheme="minorHAnsi"/>
          <w:lang w:val="es-PE"/>
        </w:rPr>
        <w:t>Raúl Jesús</w:t>
      </w:r>
      <w:r>
        <w:rPr>
          <w:rFonts w:hint="default" w:asciiTheme="minorHAnsi" w:hAnsiTheme="minorHAnsi" w:cstheme="minorHAnsi"/>
          <w:lang w:val="es-ES"/>
        </w:rPr>
        <w:t>,</w:t>
      </w:r>
      <w:r>
        <w:rPr>
          <w:rFonts w:hint="default" w:asciiTheme="minorHAnsi" w:hAnsiTheme="minorHAnsi" w:cstheme="minorHAnsi"/>
          <w:lang w:val="es-PE"/>
        </w:rPr>
        <w:t xml:space="preserve"> Fernández-Jurado</w:t>
      </w:r>
      <w:r>
        <w:rPr>
          <w:rFonts w:hint="default" w:asciiTheme="minorHAnsi" w:cstheme="minorHAnsi"/>
          <w:vertAlign w:val="superscript"/>
          <w:lang w:val="es-ES"/>
        </w:rPr>
        <w:t>1</w:t>
      </w:r>
      <w:r>
        <w:rPr>
          <w:rFonts w:cstheme="minorHAnsi"/>
          <w:color w:val="1155CC"/>
          <w:sz w:val="16"/>
          <w:szCs w:val="16"/>
        </w:rPr>
        <w:t xml:space="preserve"> </w:t>
      </w:r>
      <w:r>
        <w:fldChar w:fldCharType="begin"/>
      </w:r>
      <w:r>
        <w:instrText xml:space="preserve"> HYPERLINK "http://orcid.org/0000-0002-8169-220" \h </w:instrText>
      </w:r>
      <w:r>
        <w:fldChar w:fldCharType="separate"/>
      </w:r>
      <w:r>
        <w:rPr>
          <w:rFonts w:cstheme="minorHAnsi"/>
          <w:color w:val="1155CC"/>
          <w:sz w:val="16"/>
          <w:szCs w:val="16"/>
        </w:rPr>
        <w:drawing>
          <wp:inline distT="0" distB="0" distL="0" distR="0">
            <wp:extent cx="121285" cy="121920"/>
            <wp:effectExtent l="0" t="0" r="0" b="0"/>
            <wp:docPr id="16" name="image3.png">
              <a:hlinkClick xmlns:a="http://schemas.openxmlformats.org/drawingml/2006/main" r:id="rId15"/>
            </wp:docPr>
            <wp:cNvGraphicFramePr/>
            <a:graphic xmlns:a="http://schemas.openxmlformats.org/drawingml/2006/main">
              <a:graphicData uri="http://schemas.openxmlformats.org/drawingml/2006/picture">
                <pic:pic xmlns:pic="http://schemas.openxmlformats.org/drawingml/2006/picture">
                  <pic:nvPicPr>
                    <pic:cNvPr id="16" name="image3.png"/>
                    <pic:cNvPicPr preferRelativeResize="0"/>
                  </pic:nvPicPr>
                  <pic:blipFill>
                    <a:blip r:embed="rId11"/>
                    <a:srcRect/>
                    <a:stretch>
                      <a:fillRect/>
                    </a:stretch>
                  </pic:blipFill>
                  <pic:spPr>
                    <a:xfrm>
                      <a:off x="0" y="0"/>
                      <a:ext cx="121919" cy="121920"/>
                    </a:xfrm>
                    <a:prstGeom prst="rect">
                      <a:avLst/>
                    </a:prstGeom>
                  </pic:spPr>
                </pic:pic>
              </a:graphicData>
            </a:graphic>
          </wp:inline>
        </w:drawing>
      </w:r>
      <w:r>
        <w:rPr>
          <w:rFonts w:cstheme="minorHAnsi"/>
          <w:color w:val="1155CC"/>
          <w:sz w:val="16"/>
          <w:szCs w:val="16"/>
        </w:rPr>
        <w:fldChar w:fldCharType="end"/>
      </w:r>
      <w:r>
        <w:rPr>
          <w:rFonts w:hint="default" w:cstheme="minorHAnsi"/>
          <w:color w:val="1155CC"/>
          <w:sz w:val="16"/>
          <w:szCs w:val="16"/>
          <w:lang w:val="es-ES"/>
        </w:rPr>
        <w:t xml:space="preserve">; </w:t>
      </w:r>
      <w:r>
        <w:rPr>
          <w:rFonts w:hint="default" w:asciiTheme="minorHAnsi" w:hAnsiTheme="minorHAnsi" w:cstheme="minorHAnsi"/>
          <w:lang w:val="es-PE"/>
        </w:rPr>
        <w:t>Ricardo Alexande</w:t>
      </w:r>
      <w:r>
        <w:rPr>
          <w:rFonts w:hint="default" w:asciiTheme="minorHAnsi" w:hAnsiTheme="minorHAnsi" w:cstheme="minorHAnsi"/>
          <w:lang w:val="es-ES"/>
        </w:rPr>
        <w:t xml:space="preserve">r, </w:t>
      </w:r>
      <w:r>
        <w:rPr>
          <w:rFonts w:hint="default" w:asciiTheme="minorHAnsi" w:hAnsiTheme="minorHAnsi" w:cstheme="minorHAnsi"/>
          <w:lang w:val="es-PE"/>
        </w:rPr>
        <w:t xml:space="preserve"> Sedano-Taipe</w:t>
      </w:r>
      <w:r>
        <w:rPr>
          <w:rFonts w:hint="default" w:asciiTheme="minorHAnsi" w:cstheme="minorHAnsi"/>
          <w:vertAlign w:val="superscript"/>
          <w:lang w:val="es-ES"/>
        </w:rPr>
        <w:t>1</w:t>
      </w:r>
      <w:r>
        <w:rPr>
          <w:rFonts w:cstheme="minorHAnsi"/>
          <w:color w:val="1155CC"/>
          <w:sz w:val="16"/>
          <w:szCs w:val="16"/>
        </w:rPr>
        <w:t xml:space="preserve"> </w:t>
      </w:r>
      <w:r>
        <w:fldChar w:fldCharType="begin"/>
      </w:r>
      <w:r>
        <w:instrText xml:space="preserve"> HYPERLINK "http://orcid.org/0000-0002-8169-220" \h </w:instrText>
      </w:r>
      <w:r>
        <w:fldChar w:fldCharType="separate"/>
      </w:r>
      <w:r>
        <w:rPr>
          <w:rFonts w:cstheme="minorHAnsi"/>
          <w:color w:val="1155CC"/>
          <w:sz w:val="16"/>
          <w:szCs w:val="16"/>
        </w:rPr>
        <w:drawing>
          <wp:inline distT="0" distB="0" distL="0" distR="0">
            <wp:extent cx="121285" cy="121920"/>
            <wp:effectExtent l="0" t="0" r="635" b="0"/>
            <wp:docPr id="1" name="image3.png">
              <a:hlinkClick xmlns:a="http://schemas.openxmlformats.org/drawingml/2006/main" r:id="rId15"/>
            </wp:docPr>
            <wp:cNvGraphicFramePr/>
            <a:graphic xmlns:a="http://schemas.openxmlformats.org/drawingml/2006/main">
              <a:graphicData uri="http://schemas.openxmlformats.org/drawingml/2006/picture">
                <pic:pic xmlns:pic="http://schemas.openxmlformats.org/drawingml/2006/picture">
                  <pic:nvPicPr>
                    <pic:cNvPr id="1" name="image3.png"/>
                    <pic:cNvPicPr preferRelativeResize="0"/>
                  </pic:nvPicPr>
                  <pic:blipFill>
                    <a:blip r:embed="rId11"/>
                    <a:srcRect/>
                    <a:stretch>
                      <a:fillRect/>
                    </a:stretch>
                  </pic:blipFill>
                  <pic:spPr>
                    <a:xfrm>
                      <a:off x="0" y="0"/>
                      <a:ext cx="121919" cy="121920"/>
                    </a:xfrm>
                    <a:prstGeom prst="rect">
                      <a:avLst/>
                    </a:prstGeom>
                  </pic:spPr>
                </pic:pic>
              </a:graphicData>
            </a:graphic>
          </wp:inline>
        </w:drawing>
      </w:r>
      <w:r>
        <w:rPr>
          <w:rFonts w:cstheme="minorHAnsi"/>
          <w:color w:val="1155CC"/>
          <w:sz w:val="16"/>
          <w:szCs w:val="16"/>
        </w:rPr>
        <w:fldChar w:fldCharType="end"/>
      </w:r>
      <w:r>
        <w:rPr>
          <w:rFonts w:hint="default" w:cstheme="minorHAnsi"/>
          <w:color w:val="1155CC"/>
          <w:sz w:val="16"/>
          <w:szCs w:val="16"/>
          <w:lang w:val="es-ES"/>
        </w:rPr>
        <w:t xml:space="preserve">; </w:t>
      </w:r>
      <w:r>
        <w:rPr>
          <w:rFonts w:hint="default" w:asciiTheme="minorHAnsi" w:hAnsiTheme="minorHAnsi" w:cstheme="minorHAnsi"/>
          <w:lang w:val="es-PE"/>
        </w:rPr>
        <w:t>Oscar</w:t>
      </w:r>
      <w:r>
        <w:rPr>
          <w:rFonts w:hint="default" w:asciiTheme="minorHAnsi" w:hAnsiTheme="minorHAnsi" w:cstheme="minorHAnsi"/>
          <w:lang w:val="es-ES"/>
        </w:rPr>
        <w:t>,</w:t>
      </w:r>
      <w:r>
        <w:rPr>
          <w:rFonts w:hint="default" w:asciiTheme="minorHAnsi" w:hAnsiTheme="minorHAnsi" w:cstheme="minorHAnsi"/>
          <w:lang w:val="es-PE"/>
        </w:rPr>
        <w:t xml:space="preserve"> Llancari Choccez</w:t>
      </w:r>
      <w:r>
        <w:rPr>
          <w:rFonts w:hint="default" w:asciiTheme="minorHAnsi" w:hAnsiTheme="minorHAnsi" w:cstheme="minorHAnsi"/>
          <w:vertAlign w:val="superscript"/>
          <w:lang w:val="es-ES"/>
        </w:rPr>
        <w:t>1</w:t>
      </w:r>
      <w:r>
        <w:rPr>
          <w:rFonts w:asciiTheme="minorHAnsi" w:hAnsiTheme="minorHAnsi" w:cstheme="minorHAnsi"/>
          <w:vertAlign w:val="superscript"/>
          <w:lang w:val="es-PE"/>
        </w:rPr>
        <w:t xml:space="preserve"> </w:t>
      </w:r>
      <w:r>
        <w:rPr>
          <w:rFonts w:asciiTheme="minorHAnsi" w:hAnsiTheme="minorHAnsi" w:cstheme="minorHAnsi"/>
          <w:color w:val="1155CC"/>
        </w:rPr>
        <w:drawing>
          <wp:inline distT="0" distB="0" distL="0" distR="0">
            <wp:extent cx="121285" cy="121920"/>
            <wp:effectExtent l="0" t="0" r="635" b="0"/>
            <wp:docPr id="3" name="image3.png">
              <a:hlinkClick xmlns:a="http://schemas.openxmlformats.org/drawingml/2006/main" r:id="rId16"/>
            </wp:docPr>
            <wp:cNvGraphicFramePr/>
            <a:graphic xmlns:a="http://schemas.openxmlformats.org/drawingml/2006/main">
              <a:graphicData uri="http://schemas.openxmlformats.org/drawingml/2006/picture">
                <pic:pic xmlns:pic="http://schemas.openxmlformats.org/drawingml/2006/picture">
                  <pic:nvPicPr>
                    <pic:cNvPr id="3" name="image3.png"/>
                    <pic:cNvPicPr preferRelativeResize="0"/>
                  </pic:nvPicPr>
                  <pic:blipFill>
                    <a:blip r:embed="rId11"/>
                    <a:srcRect/>
                    <a:stretch>
                      <a:fillRect/>
                    </a:stretch>
                  </pic:blipFill>
                  <pic:spPr>
                    <a:xfrm>
                      <a:off x="0" y="0"/>
                      <a:ext cx="121919" cy="121920"/>
                    </a:xfrm>
                    <a:prstGeom prst="rect">
                      <a:avLst/>
                    </a:prstGeom>
                  </pic:spPr>
                </pic:pic>
              </a:graphicData>
            </a:graphic>
          </wp:inline>
        </w:drawing>
      </w:r>
      <w:r>
        <w:fldChar w:fldCharType="begin"/>
      </w:r>
      <w:r>
        <w:instrText xml:space="preserve"> HYPERLINK "http://orcid.org/0009-0005-7352-140X" \h </w:instrText>
      </w:r>
      <w:r>
        <w:fldChar w:fldCharType="separate"/>
      </w:r>
      <w:r>
        <w:fldChar w:fldCharType="end"/>
      </w:r>
    </w:p>
    <w:p w14:paraId="296472C0">
      <w:pPr>
        <w:spacing w:after="0" w:line="240" w:lineRule="auto"/>
        <w:ind w:left="360"/>
        <w:jc w:val="both"/>
        <w:rPr>
          <w:sz w:val="6"/>
          <w:szCs w:val="6"/>
          <w:lang w:val="es-PE"/>
        </w:rPr>
      </w:pPr>
      <w:bookmarkStart w:id="1" w:name="_Hlk193376501"/>
    </w:p>
    <w:bookmarkEnd w:id="1"/>
    <w:p w14:paraId="034D71A5">
      <w:pPr>
        <w:numPr>
          <w:ilvl w:val="0"/>
          <w:numId w:val="2"/>
        </w:numPr>
        <w:spacing w:after="0" w:line="240" w:lineRule="auto"/>
        <w:jc w:val="both"/>
        <w:rPr>
          <w:sz w:val="16"/>
          <w:szCs w:val="16"/>
          <w:lang w:val="es-PE"/>
        </w:rPr>
      </w:pPr>
      <w:r>
        <w:rPr>
          <w:rFonts w:hint="default"/>
          <w:color w:val="000000"/>
          <w:sz w:val="16"/>
          <w:szCs w:val="16"/>
          <w:lang w:val="es-PE"/>
        </w:rPr>
        <w:t>Universidad Nacional de Huancavelica, Huancavelica, Perú</w:t>
      </w:r>
      <w:r>
        <w:rPr>
          <w:color w:val="000000"/>
          <w:sz w:val="16"/>
          <w:szCs w:val="16"/>
          <w:lang w:val="es-PE"/>
        </w:rPr>
        <w:t>.</w:t>
      </w:r>
    </w:p>
    <w:p w14:paraId="4D0D703A">
      <w:pPr>
        <w:numPr>
          <w:ilvl w:val="0"/>
          <w:numId w:val="2"/>
        </w:numPr>
        <w:spacing w:after="0" w:line="240" w:lineRule="auto"/>
        <w:jc w:val="both"/>
        <w:rPr>
          <w:sz w:val="16"/>
          <w:szCs w:val="16"/>
        </w:rPr>
      </w:pPr>
      <w:r>
        <w:rPr>
          <w:rFonts w:hint="default"/>
          <w:color w:val="000000"/>
          <w:sz w:val="16"/>
          <w:szCs w:val="16"/>
        </w:rPr>
        <w:t>Universidad Nacional del Centro del Perú, Huancayo, Perú</w:t>
      </w:r>
      <w:r>
        <w:rPr>
          <w:color w:val="000000"/>
          <w:sz w:val="16"/>
          <w:szCs w:val="16"/>
        </w:rPr>
        <w:t>.</w:t>
      </w:r>
    </w:p>
    <w:p w14:paraId="1354DEB8">
      <w:pPr>
        <w:pStyle w:val="40"/>
        <w:numPr>
          <w:ilvl w:val="0"/>
          <w:numId w:val="0"/>
        </w:numPr>
        <w:rPr>
          <w:sz w:val="2"/>
          <w:szCs w:val="6"/>
          <w:lang w:val="es-VE"/>
        </w:rPr>
      </w:pPr>
    </w:p>
    <w:p w14:paraId="251AD17A">
      <w:pPr>
        <w:pStyle w:val="21"/>
        <w:rPr>
          <w:i w:val="0"/>
          <w:sz w:val="24"/>
        </w:rPr>
      </w:pPr>
      <w:r>
        <w:rPr>
          <w:i w:val="0"/>
          <w:sz w:val="24"/>
        </w:rPr>
        <w:t>Resumen</w:t>
      </w:r>
      <w:bookmarkStart w:id="3" w:name="_GoBack"/>
      <w:bookmarkEnd w:id="3"/>
    </w:p>
    <w:p w14:paraId="04594473">
      <w:pPr>
        <w:pStyle w:val="39"/>
        <w:pBdr>
          <w:bottom w:val="single" w:color="auto" w:sz="12" w:space="1"/>
        </w:pBdr>
        <w:rPr>
          <w:rFonts w:hint="default"/>
          <w:sz w:val="16"/>
          <w:szCs w:val="18"/>
        </w:rPr>
      </w:pPr>
      <w:r>
        <w:rPr>
          <w:rFonts w:hint="default"/>
          <w:sz w:val="16"/>
          <w:szCs w:val="18"/>
        </w:rPr>
        <w:t>La historiografía tradicional sobre la rebelión de Túpac Amaru II ha priorizado enfoques estructurales y políticos, invisibilizando la dimensión afectiva y familiar que vertebró la insurgencia y su resistencia frente al orden colonial. Este artículo aborda dicha problemática mediante un estudio de enfoque cualitativo e interpretativo, que articula dos estrategias metodológicas: un análisis histórico–documental de la familia Condorcanqui–Bastidas y una autoetnografía reflexiva sobre una crisis de salud familiar contemporánea. Los resultados demuestran que, en ambos escenarios, la familia opera como un núcleo estratégico de resistencia donde el amor, el cuidado mutuo y el compromiso compartido trascienden la esfera doméstica para constituirse en fuerzas movilizadoras ante contextos de amenaza extrema. Asimismo, se identificaron resonancias simbólicas que vinculan la lucha política del siglo XVIII con la lucha vital contemporánea, revelando que los vínculos de parentesco actúan como una tecnología de supervivencia emocional frente a la desarticulación impuesta por fuerzas externas. Se concluye que la dimensión afectiva es un componente esencial y no secundario de la resistencia, sugiriendo que los procesos sociales de lucha</w:t>
      </w:r>
      <w:r>
        <w:rPr>
          <w:rFonts w:hint="default"/>
          <w:sz w:val="16"/>
          <w:szCs w:val="18"/>
          <w:lang w:val="es-ES"/>
        </w:rPr>
        <w:t xml:space="preserve">, </w:t>
      </w:r>
      <w:r>
        <w:rPr>
          <w:rFonts w:hint="default"/>
          <w:sz w:val="16"/>
          <w:szCs w:val="18"/>
        </w:rPr>
        <w:t>tanto históricos como actuales</w:t>
      </w:r>
      <w:r>
        <w:rPr>
          <w:rFonts w:hint="default"/>
          <w:sz w:val="16"/>
          <w:szCs w:val="18"/>
          <w:lang w:val="es-ES"/>
        </w:rPr>
        <w:t>,</w:t>
      </w:r>
      <w:r>
        <w:rPr>
          <w:rFonts w:hint="default"/>
          <w:sz w:val="16"/>
          <w:szCs w:val="18"/>
        </w:rPr>
        <w:t xml:space="preserve"> encuentran su coherencia y persistencia en los vínculos íntimos que dotan de dignidad y sentido a la vida frente a la adversidad. Esta lectura antropológica permite reconocer que la resistencia es, ante todo, una práctica relacional que preserva la identidad y la memoria colectiva.</w:t>
      </w:r>
    </w:p>
    <w:p w14:paraId="70D7F46D">
      <w:pPr>
        <w:pStyle w:val="39"/>
        <w:pBdr>
          <w:bottom w:val="single" w:color="auto" w:sz="12" w:space="1"/>
        </w:pBdr>
        <w:rPr>
          <w:sz w:val="16"/>
          <w:szCs w:val="18"/>
        </w:rPr>
      </w:pPr>
      <w:r>
        <w:rPr>
          <w:rFonts w:hint="default"/>
          <w:b/>
          <w:bCs/>
          <w:sz w:val="16"/>
          <w:szCs w:val="18"/>
        </w:rPr>
        <w:t>Palabras clave</w:t>
      </w:r>
      <w:r>
        <w:rPr>
          <w:rFonts w:hint="default"/>
          <w:sz w:val="16"/>
          <w:szCs w:val="18"/>
        </w:rPr>
        <w:t>: antropología histórica, familia, resistencia, Túpac Amaru II, autoetnografía.</w:t>
      </w:r>
      <w:r>
        <w:rPr>
          <w:sz w:val="16"/>
          <w:szCs w:val="18"/>
        </w:rPr>
        <w:t xml:space="preserve">.  </w:t>
      </w:r>
    </w:p>
    <w:p w14:paraId="27C8FA40">
      <w:pPr>
        <w:pStyle w:val="21"/>
        <w:rPr>
          <w:rStyle w:val="13"/>
          <w:b/>
          <w:bCs w:val="0"/>
          <w:i w:val="0"/>
          <w:sz w:val="24"/>
          <w:lang w:val="en-US"/>
        </w:rPr>
      </w:pPr>
      <w:r>
        <w:rPr>
          <w:rStyle w:val="13"/>
          <w:b/>
          <w:bCs w:val="0"/>
          <w:i w:val="0"/>
          <w:sz w:val="24"/>
          <w:lang w:val="en-US"/>
        </w:rPr>
        <w:t xml:space="preserve">Abstract </w:t>
      </w:r>
    </w:p>
    <w:p w14:paraId="113F7A7F">
      <w:pPr>
        <w:pStyle w:val="39"/>
        <w:pBdr>
          <w:bottom w:val="single" w:color="auto" w:sz="12" w:space="1"/>
        </w:pBdr>
        <w:rPr>
          <w:rFonts w:hint="default" w:asciiTheme="minorHAnsi" w:hAnsiTheme="minorHAnsi" w:cstheme="minorHAnsi"/>
          <w:sz w:val="16"/>
          <w:szCs w:val="16"/>
        </w:rPr>
      </w:pPr>
      <w:r>
        <w:rPr>
          <w:rFonts w:hint="default" w:asciiTheme="minorHAnsi" w:hAnsiTheme="minorHAnsi" w:cstheme="minorHAnsi"/>
          <w:sz w:val="16"/>
          <w:szCs w:val="16"/>
        </w:rPr>
        <w:t>Traditional historiography regarding the Túpac Amaru II rebellion has prioritized structural and political approaches, often overlooking the affective and familiar dimension that underpinned the insurgency and its resistance against the colonial order. This article addresses this issue through a qualitative and interpretive study that articulates two methodological strategies: a historical-documentary analysis of the Condorcanqui–Bastidas family and a reflexive autoethnography based on a contemporary family health crisis. The results demonstrate that, in both scenarios, the family functions as a strategic nucleus of resistance where love, mutual care, and shared commitment transcend the domestic sphere to become mobilizing forces in contexts of extreme threat. Furthermore, symbolic resonances were identified that link the 18th-century political struggle with the contemporary vital struggle, revealing that kinship bonds act as a "technology of emotional survival" against the disintegration imposed by external forces. The article concludes that the affective dimension is an essential</w:t>
      </w:r>
      <w:r>
        <w:rPr>
          <w:rFonts w:hint="default" w:cstheme="minorHAnsi"/>
          <w:sz w:val="16"/>
          <w:szCs w:val="16"/>
          <w:lang w:val="es-ES"/>
        </w:rPr>
        <w:t xml:space="preserve">, </w:t>
      </w:r>
      <w:r>
        <w:rPr>
          <w:rFonts w:hint="default" w:asciiTheme="minorHAnsi" w:hAnsiTheme="minorHAnsi" w:cstheme="minorHAnsi"/>
          <w:sz w:val="16"/>
          <w:szCs w:val="16"/>
        </w:rPr>
        <w:t>not secondary</w:t>
      </w:r>
      <w:r>
        <w:rPr>
          <w:rFonts w:hint="default" w:cstheme="minorHAnsi"/>
          <w:sz w:val="16"/>
          <w:szCs w:val="16"/>
          <w:lang w:val="es-ES"/>
        </w:rPr>
        <w:t>,</w:t>
      </w:r>
      <w:r>
        <w:rPr>
          <w:rFonts w:hint="default" w:asciiTheme="minorHAnsi" w:hAnsiTheme="minorHAnsi" w:cstheme="minorHAnsi"/>
          <w:sz w:val="16"/>
          <w:szCs w:val="16"/>
        </w:rPr>
        <w:t>component of resistance, suggesting that social processes of struggle</w:t>
      </w:r>
      <w:r>
        <w:rPr>
          <w:rFonts w:hint="default" w:cstheme="minorHAnsi"/>
          <w:sz w:val="16"/>
          <w:szCs w:val="16"/>
          <w:lang w:val="es-ES"/>
        </w:rPr>
        <w:t xml:space="preserve">, </w:t>
      </w:r>
      <w:r>
        <w:rPr>
          <w:rFonts w:hint="default" w:asciiTheme="minorHAnsi" w:hAnsiTheme="minorHAnsi" w:cstheme="minorHAnsi"/>
          <w:sz w:val="16"/>
          <w:szCs w:val="16"/>
        </w:rPr>
        <w:t>both historical and current</w:t>
      </w:r>
      <w:r>
        <w:rPr>
          <w:rFonts w:hint="default" w:cstheme="minorHAnsi"/>
          <w:sz w:val="16"/>
          <w:szCs w:val="16"/>
          <w:lang w:val="es-ES"/>
        </w:rPr>
        <w:t xml:space="preserve">, </w:t>
      </w:r>
      <w:r>
        <w:rPr>
          <w:rFonts w:hint="default" w:asciiTheme="minorHAnsi" w:hAnsiTheme="minorHAnsi" w:cstheme="minorHAnsi"/>
          <w:sz w:val="16"/>
          <w:szCs w:val="16"/>
        </w:rPr>
        <w:t>find their coherence and persistence in the intimate bonds that endow life with dignity and meaning in the face of adversity. This anthropological reading allows us to recognize that resistance is, above all, a relational practice that preserves identity and collective memory.</w:t>
      </w:r>
    </w:p>
    <w:p w14:paraId="69A9630B">
      <w:pPr>
        <w:pStyle w:val="39"/>
        <w:pBdr>
          <w:bottom w:val="single" w:color="auto" w:sz="12" w:space="1"/>
        </w:pBdr>
        <w:rPr>
          <w:sz w:val="16"/>
          <w:szCs w:val="18"/>
          <w:lang w:val="en-US"/>
        </w:rPr>
      </w:pPr>
      <w:r>
        <w:rPr>
          <w:rFonts w:hint="default" w:asciiTheme="minorHAnsi" w:hAnsiTheme="minorHAnsi" w:cstheme="minorHAnsi"/>
          <w:b/>
          <w:bCs/>
          <w:sz w:val="16"/>
          <w:szCs w:val="16"/>
        </w:rPr>
        <w:t>Keywords</w:t>
      </w:r>
      <w:r>
        <w:rPr>
          <w:rFonts w:hint="default" w:asciiTheme="minorHAnsi" w:hAnsiTheme="minorHAnsi" w:cstheme="minorHAnsi"/>
          <w:sz w:val="16"/>
          <w:szCs w:val="16"/>
        </w:rPr>
        <w:t>: historical anthropology, family, resistance, Túpac Amaru II, autoethnography.</w:t>
      </w:r>
      <w:r>
        <w:rPr>
          <w:sz w:val="16"/>
          <w:szCs w:val="18"/>
          <w:lang w:val="en-US"/>
        </w:rPr>
        <w:t xml:space="preserve"> </w:t>
      </w:r>
    </w:p>
    <w:tbl>
      <w:tblPr>
        <w:tblStyle w:val="24"/>
        <w:tblW w:w="0" w:type="auto"/>
        <w:tblInd w:w="0" w:type="dxa"/>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Layout w:type="autofit"/>
        <w:tblCellMar>
          <w:top w:w="0" w:type="dxa"/>
          <w:left w:w="108" w:type="dxa"/>
          <w:bottom w:w="0" w:type="dxa"/>
          <w:right w:w="108" w:type="dxa"/>
        </w:tblCellMar>
      </w:tblPr>
      <w:tblGrid>
        <w:gridCol w:w="1565"/>
        <w:gridCol w:w="1563"/>
        <w:gridCol w:w="1566"/>
        <w:gridCol w:w="1564"/>
        <w:gridCol w:w="1566"/>
        <w:gridCol w:w="1564"/>
      </w:tblGrid>
      <w:tr w14:paraId="1CF106A1">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PrEx>
        <w:tc>
          <w:tcPr>
            <w:tcW w:w="1565" w:type="dxa"/>
            <w:shd w:val="clear" w:color="auto" w:fill="auto"/>
          </w:tcPr>
          <w:p w14:paraId="22498FB7">
            <w:pPr>
              <w:spacing w:after="0" w:line="240" w:lineRule="auto"/>
              <w:jc w:val="both"/>
              <w:rPr>
                <w:rFonts w:cs="Times New Roman" w:asciiTheme="minorHAnsi" w:hAnsiTheme="minorHAnsi"/>
                <w:sz w:val="16"/>
                <w:szCs w:val="16"/>
              </w:rPr>
            </w:pPr>
            <w:r>
              <w:rPr>
                <w:rFonts w:cs="Times New Roman" w:asciiTheme="minorHAnsi" w:hAnsiTheme="minorHAnsi"/>
                <w:sz w:val="16"/>
                <w:szCs w:val="16"/>
              </w:rPr>
              <w:t>Recibido/Received</w:t>
            </w:r>
          </w:p>
        </w:tc>
        <w:tc>
          <w:tcPr>
            <w:tcW w:w="1563" w:type="dxa"/>
            <w:shd w:val="clear" w:color="auto" w:fill="auto"/>
          </w:tcPr>
          <w:p w14:paraId="7B1B1679">
            <w:pPr>
              <w:spacing w:after="0" w:line="240" w:lineRule="auto"/>
              <w:jc w:val="center"/>
              <w:rPr>
                <w:rFonts w:cs="Times New Roman" w:asciiTheme="minorHAnsi" w:hAnsiTheme="minorHAnsi"/>
                <w:sz w:val="16"/>
                <w:szCs w:val="16"/>
                <w:lang w:val="es-ES"/>
              </w:rPr>
            </w:pPr>
            <w:r>
              <w:rPr>
                <w:rFonts w:hint="default" w:cs="Times New Roman" w:asciiTheme="minorHAnsi" w:hAnsiTheme="minorHAnsi"/>
                <w:sz w:val="16"/>
                <w:szCs w:val="16"/>
                <w:lang w:val="es-ES"/>
              </w:rPr>
              <w:t>17-03</w:t>
            </w:r>
            <w:r>
              <w:rPr>
                <w:rFonts w:cs="Times New Roman" w:asciiTheme="minorHAnsi" w:hAnsiTheme="minorHAnsi"/>
                <w:sz w:val="16"/>
                <w:szCs w:val="16"/>
                <w:lang w:val="es-ES"/>
              </w:rPr>
              <w:t>-2026</w:t>
            </w:r>
          </w:p>
        </w:tc>
        <w:tc>
          <w:tcPr>
            <w:tcW w:w="1566" w:type="dxa"/>
            <w:shd w:val="clear" w:color="auto" w:fill="auto"/>
          </w:tcPr>
          <w:p w14:paraId="593A2C99">
            <w:pPr>
              <w:spacing w:after="0" w:line="240" w:lineRule="auto"/>
              <w:jc w:val="both"/>
              <w:rPr>
                <w:rFonts w:cs="Times New Roman" w:asciiTheme="minorHAnsi" w:hAnsiTheme="minorHAnsi"/>
                <w:sz w:val="16"/>
                <w:szCs w:val="16"/>
              </w:rPr>
            </w:pPr>
            <w:r>
              <w:rPr>
                <w:rFonts w:cs="Times New Roman" w:asciiTheme="minorHAnsi" w:hAnsiTheme="minorHAnsi"/>
                <w:sz w:val="16"/>
                <w:szCs w:val="16"/>
              </w:rPr>
              <w:t>Aprobado/Approved</w:t>
            </w:r>
          </w:p>
        </w:tc>
        <w:tc>
          <w:tcPr>
            <w:tcW w:w="1564" w:type="dxa"/>
            <w:shd w:val="clear" w:color="auto" w:fill="auto"/>
          </w:tcPr>
          <w:p w14:paraId="27CDC12D">
            <w:pPr>
              <w:spacing w:after="0" w:line="240" w:lineRule="auto"/>
              <w:jc w:val="center"/>
              <w:rPr>
                <w:rFonts w:cs="Times New Roman" w:asciiTheme="minorHAnsi" w:hAnsiTheme="minorHAnsi"/>
                <w:sz w:val="16"/>
                <w:szCs w:val="16"/>
                <w:lang w:val="es-ES"/>
              </w:rPr>
            </w:pPr>
            <w:r>
              <w:rPr>
                <w:rFonts w:hint="default" w:cs="Times New Roman" w:asciiTheme="minorHAnsi" w:hAnsiTheme="minorHAnsi"/>
                <w:sz w:val="16"/>
                <w:szCs w:val="16"/>
                <w:lang w:val="es-ES"/>
              </w:rPr>
              <w:t>22-05</w:t>
            </w:r>
            <w:r>
              <w:rPr>
                <w:rFonts w:cs="Times New Roman" w:asciiTheme="minorHAnsi" w:hAnsiTheme="minorHAnsi"/>
                <w:sz w:val="16"/>
                <w:szCs w:val="16"/>
                <w:lang w:val="es-ES"/>
              </w:rPr>
              <w:t>-2026</w:t>
            </w:r>
          </w:p>
        </w:tc>
        <w:tc>
          <w:tcPr>
            <w:tcW w:w="1566" w:type="dxa"/>
            <w:shd w:val="clear" w:color="auto" w:fill="auto"/>
          </w:tcPr>
          <w:p w14:paraId="1B789BCA">
            <w:pPr>
              <w:spacing w:after="0" w:line="240" w:lineRule="auto"/>
              <w:jc w:val="both"/>
              <w:rPr>
                <w:rFonts w:cs="Times New Roman" w:asciiTheme="minorHAnsi" w:hAnsiTheme="minorHAnsi"/>
                <w:sz w:val="16"/>
                <w:szCs w:val="16"/>
              </w:rPr>
            </w:pPr>
            <w:r>
              <w:rPr>
                <w:rFonts w:cs="Times New Roman" w:asciiTheme="minorHAnsi" w:hAnsiTheme="minorHAnsi"/>
                <w:sz w:val="16"/>
                <w:szCs w:val="16"/>
              </w:rPr>
              <w:t>Publicado/Published</w:t>
            </w:r>
          </w:p>
        </w:tc>
        <w:tc>
          <w:tcPr>
            <w:tcW w:w="1564" w:type="dxa"/>
            <w:shd w:val="clear" w:color="auto" w:fill="auto"/>
          </w:tcPr>
          <w:p w14:paraId="7CFD4FF3">
            <w:pPr>
              <w:spacing w:after="0" w:line="240" w:lineRule="auto"/>
              <w:jc w:val="center"/>
              <w:rPr>
                <w:rFonts w:cs="Times New Roman" w:asciiTheme="minorHAnsi" w:hAnsiTheme="minorHAnsi"/>
                <w:sz w:val="16"/>
                <w:szCs w:val="16"/>
                <w:lang w:val="es-ES"/>
              </w:rPr>
            </w:pPr>
            <w:r>
              <w:rPr>
                <w:rFonts w:hint="default" w:cs="Times New Roman" w:asciiTheme="minorHAnsi" w:hAnsiTheme="minorHAnsi"/>
                <w:sz w:val="16"/>
                <w:szCs w:val="16"/>
                <w:lang w:val="es-ES"/>
              </w:rPr>
              <w:t>25-05-</w:t>
            </w:r>
            <w:r>
              <w:rPr>
                <w:rFonts w:cs="Times New Roman" w:asciiTheme="minorHAnsi" w:hAnsiTheme="minorHAnsi"/>
                <w:sz w:val="16"/>
                <w:szCs w:val="16"/>
                <w:lang w:val="es-ES"/>
              </w:rPr>
              <w:t>-2026</w:t>
            </w:r>
          </w:p>
        </w:tc>
      </w:tr>
    </w:tbl>
    <w:p w14:paraId="659810F3">
      <w:pPr>
        <w:rPr>
          <w:rFonts w:hint="default"/>
          <w:b/>
          <w:bCs/>
          <w:sz w:val="24"/>
          <w:lang w:val="es-ES"/>
        </w:rPr>
      </w:pPr>
      <w:r>
        <w:rPr>
          <w:b/>
          <w:bCs/>
          <w:sz w:val="24"/>
          <w:lang w:val="es-ES"/>
        </w:rPr>
        <w:br w:type="page"/>
      </w:r>
      <w:r>
        <w:rPr>
          <w:rFonts w:hint="default"/>
          <w:b/>
          <w:bCs/>
          <w:sz w:val="24"/>
          <w:lang w:val="es-ES"/>
        </w:rPr>
        <w:t>-</w:t>
      </w:r>
    </w:p>
    <w:p w14:paraId="15CF188A">
      <w:pPr>
        <w:pStyle w:val="32"/>
        <w:spacing w:before="120" w:beforeLines="50" w:after="0" w:line="240" w:lineRule="auto"/>
        <w:ind w:left="0"/>
        <w:jc w:val="both"/>
        <w:rPr>
          <w:b/>
          <w:bCs/>
          <w:sz w:val="24"/>
          <w:lang w:val="es-ES"/>
        </w:rPr>
      </w:pPr>
      <w:r>
        <w:rPr>
          <w:b/>
          <w:bCs/>
          <w:sz w:val="24"/>
          <w:lang w:val="es-ES"/>
        </w:rPr>
        <w:t>Introducción</w:t>
      </w:r>
    </w:p>
    <w:p w14:paraId="62F01463">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ind w:firstLine="720"/>
        <w:jc w:val="both"/>
        <w:textAlignment w:val="auto"/>
        <w:rPr>
          <w:rFonts w:hint="default" w:ascii="Calibri" w:hAnsi="Calibri" w:cs="Calibri"/>
          <w:sz w:val="22"/>
          <w:szCs w:val="22"/>
        </w:rPr>
      </w:pPr>
      <w:r>
        <w:rPr>
          <w:rFonts w:hint="default" w:ascii="Calibri" w:hAnsi="Calibri" w:cs="Calibri"/>
          <w:sz w:val="22"/>
          <w:szCs w:val="22"/>
        </w:rPr>
        <w:t>La historiografía tradicional sobre el siglo XVIII andino ha operado, durante décadas, bajo un paradigma que prioriza el análisis estructural del poder colonial, interpretando la rebelión de José Gabriel Condorcanqui, Túpac Amaru II, y Micaela Bastidas como un fenómeno esencialmente político, económico y militar. Esta perspectiva, consolidada por referentes ineludibles como O’Phelan (1979) y Walker (2015), ha diseccionado con maestría las causas coyunturales y las estrategias insurgentes que precipitaron la crisis del sistema virreinal. No obstante, al centrar la mirada en los grandes engranajes de la dominación, se ha relegado a un plano periférico la dimensión afectiva y doméstica que, en última instancia, vertebró el movimiento. Bajo esta estructura analítica, todavía subyace una historia pendiente de ser narrada: aquella que sitúa a los vínculos de parentesco no como elementos secundarios, sino como los ejes fundamentales sobre los cuales se construyó la resistencia frente al absolutismo.</w:t>
      </w:r>
    </w:p>
    <w:p w14:paraId="23FF451C">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ind w:firstLine="720"/>
        <w:jc w:val="both"/>
        <w:textAlignment w:val="auto"/>
        <w:rPr>
          <w:rFonts w:hint="default" w:ascii="Calibri" w:hAnsi="Calibri" w:cs="Calibri"/>
          <w:sz w:val="22"/>
          <w:szCs w:val="22"/>
        </w:rPr>
      </w:pPr>
      <w:r>
        <w:rPr>
          <w:rFonts w:hint="default" w:ascii="Calibri" w:hAnsi="Calibri" w:cs="Calibri"/>
          <w:sz w:val="22"/>
          <w:szCs w:val="22"/>
        </w:rPr>
        <w:t>La invisibilización de la dimensión familiar no constituye solo una omisión técnica, sino una pérdida significativa de humanidad en la comprensión del pasado. La historiografía reciente recuerda que los Condorcanqui–Bastidas no fueron únicamente insurgentes, sino padres, esposos y compañeros unidos por vínculos que desafiaron los límites de la supervivencia (Bunster &amp; Lorandi, 2025; Gutiérrez, 2006; O’Phelan, 2021). Cuando el tejido social se desmorona —ya sea bajo el peso de un imperio o de una crisis contemporánea—, el refugio primario no se encuentra en la ideología abstracta, sino en la solidez de los lazos íntimos.</w:t>
      </w:r>
    </w:p>
    <w:p w14:paraId="5ABCC7AA">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ind w:firstLine="720"/>
        <w:jc w:val="both"/>
        <w:textAlignment w:val="auto"/>
        <w:rPr>
          <w:rFonts w:hint="default" w:ascii="Calibri" w:hAnsi="Calibri" w:cs="Calibri"/>
          <w:sz w:val="22"/>
          <w:szCs w:val="22"/>
        </w:rPr>
      </w:pPr>
      <w:r>
        <w:rPr>
          <w:rFonts w:hint="default" w:ascii="Calibri" w:hAnsi="Calibri" w:cs="Calibri"/>
          <w:sz w:val="22"/>
          <w:szCs w:val="22"/>
        </w:rPr>
        <w:t>Desde la antropología, se reconoce que la familia trasciende la definición de una unidad de convivencia. Se constituye como un laboratorio de significados, un espacio donde se generan las convicciones morales que permiten la persistencia cotidiana (Fargas Peñarrocha, 2021). En el contexto de la rebelión, la táctica política no funcionó como una línea paralela al amor conyugal; representó su prolongación lógica. Se invita a considerar el peso de esa responsabilidad intergeneracional mientras el entorno se cargaba con la amenaza inminente de la corona.</w:t>
      </w:r>
    </w:p>
    <w:p w14:paraId="61FAB977">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ind w:firstLine="720"/>
        <w:jc w:val="both"/>
        <w:textAlignment w:val="auto"/>
        <w:rPr>
          <w:rFonts w:hint="default" w:ascii="Calibri" w:hAnsi="Calibri" w:cs="Calibri"/>
          <w:sz w:val="22"/>
          <w:szCs w:val="22"/>
        </w:rPr>
      </w:pPr>
      <w:r>
        <w:rPr>
          <w:rFonts w:hint="default" w:ascii="Calibri" w:hAnsi="Calibri" w:cs="Calibri"/>
          <w:sz w:val="22"/>
          <w:szCs w:val="22"/>
        </w:rPr>
        <w:t>Micaela Bastidas emerge, en este análisis, no como un personaje secundario, sino como el eje gravitacional de la insurgencia. Su figura, rescatada por estudios fundamentales (Fernández, 2005; Kanashiro, 2021; Pita Pico, 2019), desafió con naturalidad las estrechas limitaciones de género impuestas por la sociedad colonial. Ella no solo proveía logística; funcionaba como la arquitectura emocional que mantenía viva la llama del movimiento ante el avance de la desesperanza. Esta resistencia fue, ante todo, una práctica de cuidado mutuo y lealtad profunda (Arroyo, 2015; Ormeño, 2011).</w:t>
      </w:r>
    </w:p>
    <w:p w14:paraId="1850D890">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ind w:firstLine="720"/>
        <w:jc w:val="both"/>
        <w:textAlignment w:val="auto"/>
        <w:rPr>
          <w:rFonts w:hint="default" w:ascii="Calibri" w:hAnsi="Calibri" w:cs="Calibri"/>
          <w:sz w:val="22"/>
          <w:szCs w:val="22"/>
        </w:rPr>
      </w:pPr>
      <w:r>
        <w:rPr>
          <w:rFonts w:hint="default" w:ascii="Calibri" w:hAnsi="Calibri" w:cs="Calibri"/>
          <w:sz w:val="22"/>
          <w:szCs w:val="22"/>
        </w:rPr>
        <w:t>El presente artículo propone un ejercicio de interpretación humana que no pretende ser un estudio distante. Al adoptar una óptica antropológica, se sitúa el núcleo familiar en el centro del huracán histórico. Como método de indagación, se incorpora una experiencia personal autoetnográfica que sirve como puente, explorando cómo la crisis familiar, en cualquier tiempo, se convierte en el motor más potente para la resistencia (Arias, 2024).</w:t>
      </w:r>
    </w:p>
    <w:p w14:paraId="160ADBE5">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ind w:firstLine="720"/>
        <w:jc w:val="both"/>
        <w:textAlignment w:val="auto"/>
        <w:rPr>
          <w:rFonts w:hint="default" w:ascii="Calibri" w:hAnsi="Calibri" w:cs="Calibri"/>
          <w:sz w:val="22"/>
          <w:szCs w:val="22"/>
        </w:rPr>
      </w:pPr>
      <w:r>
        <w:rPr>
          <w:rFonts w:hint="default" w:ascii="Calibri" w:hAnsi="Calibri" w:cs="Calibri"/>
          <w:sz w:val="22"/>
          <w:szCs w:val="22"/>
        </w:rPr>
        <w:t>Esta investigación no intenta equiparar dos mundos que pertenecen a siglos distintos, sino capturar la resonancia simbólica que los une. La represión colonial tiene su reflejo en las adversidades actuales, y los vínculos íntimos mantienen la misma fuerza movilizadora. Estudios recientes sobre las élites indígenas y la feroz reacción colonial ante estos liderazgos (Guerrero Oñate, 2023; Huerta, 2021; Parodi-Revoredo &amp; Uzcátegui-Pacheco, 2025) invitan a ver la ruptura del orden colonial como un proceso sostenido, principalmente, por convicciones familiares inquebrantables (Escanilla, 2021; Quichua, 2021).</w:t>
      </w:r>
    </w:p>
    <w:p w14:paraId="7D281068">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ind w:firstLine="720"/>
        <w:jc w:val="both"/>
        <w:textAlignment w:val="auto"/>
        <w:rPr>
          <w:rFonts w:hint="default" w:ascii="Calibri" w:hAnsi="Calibri" w:cs="Calibri"/>
          <w:sz w:val="22"/>
          <w:szCs w:val="22"/>
        </w:rPr>
      </w:pPr>
      <w:r>
        <w:rPr>
          <w:rFonts w:hint="default" w:ascii="Calibri" w:hAnsi="Calibri" w:cs="Calibri"/>
          <w:sz w:val="22"/>
          <w:szCs w:val="22"/>
        </w:rPr>
        <w:t>Al examinar este proceso, es imposible ignorar la carga emotiva de la historia. Cuando el poder intenta desarticular a los individuos, la familia se transforma en una trinchera donde se preserva la identidad frente al olvido. La insurgencia, entonces, deja de ser un fenómeno de manual para convertirse en una encarnación del sacrificio. Esta investigación sostiene que, sin ese sustrato afectivo, la rebelión de Túpac Amaru II habría sido apenas una escaramuza más.</w:t>
      </w:r>
    </w:p>
    <w:p w14:paraId="2BF519D3">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ind w:firstLine="720"/>
        <w:jc w:val="both"/>
        <w:textAlignment w:val="auto"/>
        <w:rPr>
          <w:rFonts w:hint="default" w:ascii="Calibri" w:hAnsi="Calibri" w:cs="Calibri"/>
          <w:sz w:val="22"/>
          <w:szCs w:val="22"/>
        </w:rPr>
      </w:pPr>
      <w:r>
        <w:rPr>
          <w:rFonts w:hint="default" w:ascii="Calibri" w:hAnsi="Calibri" w:cs="Calibri"/>
          <w:sz w:val="22"/>
          <w:szCs w:val="22"/>
        </w:rPr>
        <w:t>A lo largo, se desgranará cómo los Condorcanqui–Bastidas demostraron que el afecto no representa una debilidad en tiempos de guerra; es, posiblemente, la forma más radical de insurgencia. Al situar este relato en el centro de la atención (Bazurco, 2020; Cahill, 1999; Jalal-Kermele, 2011), se busca contribuir a una comprensión más cálida, más real y, sobre todo, más humana de lo que significa luchar por un futuro posible. Se invita al lector a esta exploración, donde el rigor académico converge con la profundidad de lo que define, sencillamente, a la condición humana.</w:t>
      </w:r>
    </w:p>
    <w:p w14:paraId="77F11519">
      <w:pPr>
        <w:pStyle w:val="3"/>
        <w:rPr>
          <w:rFonts w:cstheme="minorHAnsi"/>
          <w:b w:val="0"/>
          <w:bCs w:val="0"/>
          <w:sz w:val="22"/>
          <w:szCs w:val="22"/>
        </w:rPr>
      </w:pPr>
      <w:r>
        <w:rPr>
          <w:rFonts w:cstheme="minorHAnsi"/>
          <w:sz w:val="22"/>
          <w:szCs w:val="22"/>
        </w:rPr>
        <w:t>Materiales y métodos</w:t>
      </w:r>
    </w:p>
    <w:p w14:paraId="1FD0B994">
      <w:pPr>
        <w:keepNext w:val="0"/>
        <w:keepLines w:val="0"/>
        <w:pageBreakBefore w:val="0"/>
        <w:widowControl/>
        <w:kinsoku/>
        <w:wordWrap/>
        <w:overflowPunct/>
        <w:topLinePunct w:val="0"/>
        <w:autoSpaceDE/>
        <w:autoSpaceDN/>
        <w:bidi w:val="0"/>
        <w:adjustRightInd/>
        <w:snapToGrid w:val="0"/>
        <w:spacing w:before="120" w:after="0" w:line="240" w:lineRule="auto"/>
        <w:ind w:firstLine="720"/>
        <w:jc w:val="both"/>
        <w:textAlignment w:val="auto"/>
        <w:rPr>
          <w:rFonts w:hint="default" w:ascii="Calibri" w:hAnsi="Calibri" w:cs="Calibri"/>
          <w:sz w:val="22"/>
          <w:szCs w:val="22"/>
        </w:rPr>
      </w:pPr>
      <w:r>
        <w:rPr>
          <w:rFonts w:hint="default" w:ascii="Calibri" w:hAnsi="Calibri" w:cs="Calibri"/>
          <w:sz w:val="22"/>
          <w:szCs w:val="22"/>
        </w:rPr>
        <w:t>El estudio adopta un enfoque cualitativo de tipo interpretativo (Tabla 1), asimismo, se emplean dos estrategias metodológicas principales:</w:t>
      </w:r>
    </w:p>
    <w:p w14:paraId="3E3F3E77">
      <w:pPr>
        <w:pStyle w:val="32"/>
        <w:keepNext w:val="0"/>
        <w:keepLines w:val="0"/>
        <w:pageBreakBefore w:val="0"/>
        <w:widowControl/>
        <w:numPr>
          <w:ilvl w:val="0"/>
          <w:numId w:val="3"/>
        </w:numPr>
        <w:kinsoku/>
        <w:wordWrap/>
        <w:overflowPunct/>
        <w:topLinePunct w:val="0"/>
        <w:autoSpaceDE/>
        <w:autoSpaceDN/>
        <w:bidi w:val="0"/>
        <w:adjustRightInd/>
        <w:snapToGrid w:val="0"/>
        <w:spacing w:before="120" w:after="0" w:line="240" w:lineRule="auto"/>
        <w:ind w:left="840" w:leftChars="0" w:hanging="420" w:firstLineChars="0"/>
        <w:jc w:val="both"/>
        <w:textAlignment w:val="auto"/>
        <w:rPr>
          <w:rFonts w:hint="default" w:ascii="Calibri" w:hAnsi="Calibri" w:cs="Calibri"/>
          <w:sz w:val="22"/>
          <w:szCs w:val="22"/>
        </w:rPr>
      </w:pPr>
      <w:r>
        <w:rPr>
          <w:rFonts w:hint="default" w:ascii="Calibri" w:hAnsi="Calibri" w:cs="Calibri"/>
          <w:sz w:val="22"/>
          <w:szCs w:val="22"/>
        </w:rPr>
        <w:t>Análisis histórico–documental, basado en las fuentes especializadas sobre Túpac Amaru II y Micaela Bastidas.</w:t>
      </w:r>
    </w:p>
    <w:p w14:paraId="52EDC41E">
      <w:pPr>
        <w:pStyle w:val="32"/>
        <w:keepNext w:val="0"/>
        <w:keepLines w:val="0"/>
        <w:pageBreakBefore w:val="0"/>
        <w:widowControl/>
        <w:numPr>
          <w:ilvl w:val="0"/>
          <w:numId w:val="3"/>
        </w:numPr>
        <w:kinsoku/>
        <w:wordWrap/>
        <w:overflowPunct/>
        <w:topLinePunct w:val="0"/>
        <w:autoSpaceDE/>
        <w:autoSpaceDN/>
        <w:bidi w:val="0"/>
        <w:adjustRightInd/>
        <w:snapToGrid w:val="0"/>
        <w:spacing w:before="240" w:after="0" w:line="240" w:lineRule="auto"/>
        <w:ind w:left="835" w:leftChars="0" w:hanging="418" w:firstLineChars="0"/>
        <w:jc w:val="both"/>
        <w:textAlignment w:val="auto"/>
        <w:rPr>
          <w:rFonts w:hint="default" w:ascii="Calibri" w:hAnsi="Calibri" w:cs="Calibri"/>
          <w:sz w:val="22"/>
          <w:szCs w:val="22"/>
        </w:rPr>
      </w:pPr>
      <w:r>
        <w:rPr>
          <w:rFonts w:hint="default" w:ascii="Calibri" w:hAnsi="Calibri" w:cs="Calibri"/>
          <w:sz w:val="22"/>
          <w:szCs w:val="22"/>
        </w:rPr>
        <w:t>Autoetnografía reflexiva, a partir de una experiencia personal de crisis de salud familiar, utilizada como recurso comparativo y analítico.</w:t>
      </w:r>
    </w:p>
    <w:p w14:paraId="3155ACFE">
      <w:pPr>
        <w:keepNext w:val="0"/>
        <w:keepLines w:val="0"/>
        <w:pageBreakBefore w:val="0"/>
        <w:widowControl/>
        <w:kinsoku/>
        <w:wordWrap/>
        <w:overflowPunct/>
        <w:topLinePunct w:val="0"/>
        <w:autoSpaceDE/>
        <w:autoSpaceDN/>
        <w:bidi w:val="0"/>
        <w:adjustRightInd/>
        <w:snapToGrid w:val="0"/>
        <w:spacing w:before="240" w:after="120" w:line="240" w:lineRule="auto"/>
        <w:jc w:val="both"/>
        <w:textAlignment w:val="auto"/>
        <w:rPr>
          <w:rFonts w:hint="default" w:ascii="Calibri" w:hAnsi="Calibri" w:cs="Calibri"/>
          <w:i/>
          <w:iCs/>
          <w:sz w:val="22"/>
          <w:szCs w:val="22"/>
        </w:rPr>
      </w:pPr>
      <w:r>
        <w:rPr>
          <w:rFonts w:hint="default" w:ascii="Calibri" w:hAnsi="Calibri" w:cs="Calibri"/>
          <w:b/>
          <w:bCs/>
          <w:i/>
          <w:iCs/>
          <w:sz w:val="22"/>
          <w:szCs w:val="22"/>
        </w:rPr>
        <w:t>Tabla 1.</w:t>
      </w:r>
      <w:r>
        <w:rPr>
          <w:rFonts w:hint="default" w:ascii="Calibri" w:hAnsi="Calibri" w:cs="Calibri"/>
          <w:i/>
          <w:iCs/>
          <w:sz w:val="22"/>
          <w:szCs w:val="22"/>
        </w:rPr>
        <w:t xml:space="preserve"> Diseño metodológico de investigación</w:t>
      </w:r>
    </w:p>
    <w:tbl>
      <w:tblPr>
        <w:tblStyle w:val="2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59"/>
        <w:gridCol w:w="7861"/>
      </w:tblGrid>
      <w:tr w14:paraId="43A69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38" w:type="dxa"/>
            <w:shd w:val="clear" w:color="auto" w:fill="000000" w:themeFill="text1"/>
            <w:vAlign w:val="center"/>
          </w:tcPr>
          <w:p w14:paraId="2ABE50E7">
            <w:pPr>
              <w:spacing w:after="0" w:line="240" w:lineRule="auto"/>
              <w:jc w:val="center"/>
              <w:rPr>
                <w:rFonts w:hint="default" w:ascii="Calibri" w:hAnsi="Calibri" w:cs="Calibri"/>
                <w:b/>
                <w:bCs/>
                <w:color w:val="FFFFFF" w:themeColor="background1"/>
                <w:sz w:val="18"/>
                <w:szCs w:val="18"/>
                <w:lang w:val="es-MX"/>
                <w14:textFill>
                  <w14:solidFill>
                    <w14:schemeClr w14:val="bg1"/>
                  </w14:solidFill>
                </w14:textFill>
              </w:rPr>
            </w:pPr>
            <w:r>
              <w:rPr>
                <w:rFonts w:hint="default" w:ascii="Calibri" w:hAnsi="Calibri" w:cs="Calibri"/>
                <w:b/>
                <w:bCs/>
                <w:color w:val="FFFFFF" w:themeColor="background1"/>
                <w:sz w:val="18"/>
                <w:szCs w:val="18"/>
                <w:lang w:val="es-MX"/>
                <w14:textFill>
                  <w14:solidFill>
                    <w14:schemeClr w14:val="bg1"/>
                  </w14:solidFill>
                </w14:textFill>
              </w:rPr>
              <w:t>Escenario metodológico</w:t>
            </w:r>
          </w:p>
        </w:tc>
        <w:tc>
          <w:tcPr>
            <w:tcW w:w="7582" w:type="dxa"/>
            <w:shd w:val="clear" w:color="auto" w:fill="000000" w:themeFill="text1"/>
            <w:vAlign w:val="center"/>
          </w:tcPr>
          <w:p w14:paraId="62326DAE">
            <w:pPr>
              <w:spacing w:after="0" w:line="240" w:lineRule="auto"/>
              <w:jc w:val="center"/>
              <w:rPr>
                <w:rFonts w:hint="default" w:ascii="Calibri" w:hAnsi="Calibri" w:cs="Calibri"/>
                <w:b/>
                <w:bCs/>
                <w:color w:val="FFFFFF" w:themeColor="background1"/>
                <w:sz w:val="18"/>
                <w:szCs w:val="18"/>
                <w:lang w:val="es-MX"/>
                <w14:textFill>
                  <w14:solidFill>
                    <w14:schemeClr w14:val="bg1"/>
                  </w14:solidFill>
                </w14:textFill>
              </w:rPr>
            </w:pPr>
            <w:r>
              <w:rPr>
                <w:rFonts w:hint="default" w:ascii="Calibri" w:hAnsi="Calibri" w:cs="Calibri"/>
                <w:b/>
                <w:bCs/>
                <w:color w:val="FFFFFF" w:themeColor="background1"/>
                <w:sz w:val="18"/>
                <w:szCs w:val="18"/>
                <w:lang w:val="es-MX"/>
                <w14:textFill>
                  <w14:solidFill>
                    <w14:schemeClr w14:val="bg1"/>
                  </w14:solidFill>
                </w14:textFill>
              </w:rPr>
              <w:t>Descripción detallada</w:t>
            </w:r>
          </w:p>
        </w:tc>
      </w:tr>
      <w:tr w14:paraId="26CF6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69C16C3E">
            <w:pPr>
              <w:spacing w:after="0" w:line="240" w:lineRule="auto"/>
              <w:jc w:val="center"/>
              <w:rPr>
                <w:rFonts w:hint="default" w:ascii="Calibri" w:hAnsi="Calibri" w:cs="Calibri"/>
                <w:sz w:val="18"/>
                <w:szCs w:val="18"/>
                <w:lang w:val="es-MX"/>
              </w:rPr>
            </w:pPr>
            <w:r>
              <w:rPr>
                <w:rFonts w:hint="default" w:ascii="Calibri" w:hAnsi="Calibri" w:cs="Calibri"/>
                <w:sz w:val="18"/>
                <w:szCs w:val="18"/>
                <w:lang w:val="es-MX"/>
              </w:rPr>
              <w:t>Enfoque de investigación</w:t>
            </w:r>
          </w:p>
        </w:tc>
        <w:tc>
          <w:tcPr>
            <w:tcW w:w="0" w:type="auto"/>
            <w:vAlign w:val="center"/>
          </w:tcPr>
          <w:p w14:paraId="3C626BD4">
            <w:pPr>
              <w:spacing w:after="0" w:line="240" w:lineRule="auto"/>
              <w:jc w:val="both"/>
              <w:rPr>
                <w:rFonts w:hint="default" w:ascii="Calibri" w:hAnsi="Calibri" w:cs="Calibri"/>
                <w:sz w:val="18"/>
                <w:szCs w:val="18"/>
                <w:lang w:val="es-MX"/>
              </w:rPr>
            </w:pPr>
            <w:r>
              <w:rPr>
                <w:rFonts w:hint="default" w:ascii="Calibri" w:hAnsi="Calibri" w:cs="Calibri"/>
                <w:sz w:val="18"/>
                <w:szCs w:val="18"/>
                <w:lang w:val="es-MX"/>
              </w:rPr>
              <w:t>Cualitativo, de tipo interpretativo, orientado a la comprensión de significados de las prácticas simbólicas y vínculos afectivos en contextos históricos y contemporáneos.</w:t>
            </w:r>
          </w:p>
        </w:tc>
      </w:tr>
      <w:tr w14:paraId="69AB1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7EAF2829">
            <w:pPr>
              <w:spacing w:after="0" w:line="240" w:lineRule="auto"/>
              <w:jc w:val="center"/>
              <w:rPr>
                <w:rFonts w:hint="default" w:ascii="Calibri" w:hAnsi="Calibri" w:cs="Calibri"/>
                <w:sz w:val="18"/>
                <w:szCs w:val="18"/>
                <w:lang w:val="es-MX"/>
              </w:rPr>
            </w:pPr>
            <w:r>
              <w:rPr>
                <w:rFonts w:hint="default" w:ascii="Calibri" w:hAnsi="Calibri" w:cs="Calibri"/>
                <w:sz w:val="18"/>
                <w:szCs w:val="18"/>
                <w:lang w:val="es-MX"/>
              </w:rPr>
              <w:t>Tipo de estudio</w:t>
            </w:r>
          </w:p>
        </w:tc>
        <w:tc>
          <w:tcPr>
            <w:tcW w:w="0" w:type="auto"/>
            <w:vAlign w:val="center"/>
          </w:tcPr>
          <w:p w14:paraId="20A4B471">
            <w:pPr>
              <w:spacing w:after="0" w:line="240" w:lineRule="auto"/>
              <w:jc w:val="both"/>
              <w:rPr>
                <w:rFonts w:hint="default" w:ascii="Calibri" w:hAnsi="Calibri" w:cs="Calibri"/>
                <w:sz w:val="18"/>
                <w:szCs w:val="18"/>
                <w:lang w:val="es-MX"/>
              </w:rPr>
            </w:pPr>
            <w:r>
              <w:rPr>
                <w:rFonts w:hint="default" w:ascii="Calibri" w:hAnsi="Calibri" w:cs="Calibri"/>
                <w:sz w:val="18"/>
                <w:szCs w:val="18"/>
                <w:lang w:val="es-MX"/>
              </w:rPr>
              <w:t>Estudio reflexivo–interpretativo con base en análisis histórico y autoetnografía.</w:t>
            </w:r>
          </w:p>
        </w:tc>
      </w:tr>
      <w:tr w14:paraId="1CE97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648A53A8">
            <w:pPr>
              <w:spacing w:after="0" w:line="240" w:lineRule="auto"/>
              <w:jc w:val="center"/>
              <w:rPr>
                <w:rFonts w:hint="default" w:ascii="Calibri" w:hAnsi="Calibri" w:cs="Calibri"/>
                <w:b/>
                <w:bCs/>
                <w:i w:val="0"/>
                <w:iCs w:val="0"/>
                <w:sz w:val="18"/>
                <w:szCs w:val="18"/>
                <w:lang w:val="es-MX"/>
              </w:rPr>
            </w:pPr>
            <w:r>
              <w:rPr>
                <w:rFonts w:hint="default" w:ascii="Calibri" w:hAnsi="Calibri" w:cs="Calibri"/>
                <w:b/>
                <w:bCs/>
                <w:i w:val="0"/>
                <w:iCs w:val="0"/>
                <w:sz w:val="18"/>
                <w:szCs w:val="18"/>
                <w:lang w:val="es-MX"/>
              </w:rPr>
              <w:t>Estrategia metodológica 1</w:t>
            </w:r>
          </w:p>
        </w:tc>
        <w:tc>
          <w:tcPr>
            <w:tcW w:w="0" w:type="auto"/>
            <w:vAlign w:val="center"/>
          </w:tcPr>
          <w:p w14:paraId="29B842DA">
            <w:pPr>
              <w:spacing w:after="0" w:line="240" w:lineRule="auto"/>
              <w:jc w:val="center"/>
              <w:rPr>
                <w:rFonts w:hint="default" w:ascii="Calibri" w:hAnsi="Calibri" w:cs="Calibri"/>
                <w:b/>
                <w:bCs/>
                <w:i w:val="0"/>
                <w:iCs w:val="0"/>
                <w:sz w:val="18"/>
                <w:szCs w:val="18"/>
                <w:lang w:val="es-MX"/>
              </w:rPr>
            </w:pPr>
            <w:r>
              <w:rPr>
                <w:rFonts w:hint="default" w:ascii="Calibri" w:hAnsi="Calibri" w:cs="Calibri"/>
                <w:b/>
                <w:bCs/>
                <w:i w:val="0"/>
                <w:iCs w:val="0"/>
                <w:sz w:val="18"/>
                <w:szCs w:val="18"/>
                <w:lang w:val="es-MX"/>
              </w:rPr>
              <w:t>Análisis histórico–documental</w:t>
            </w:r>
          </w:p>
        </w:tc>
      </w:tr>
      <w:tr w14:paraId="1D720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42B30559">
            <w:pPr>
              <w:spacing w:after="0" w:line="240" w:lineRule="auto"/>
              <w:jc w:val="center"/>
              <w:rPr>
                <w:rFonts w:hint="default" w:ascii="Calibri" w:hAnsi="Calibri" w:cs="Calibri"/>
                <w:i w:val="0"/>
                <w:iCs w:val="0"/>
                <w:sz w:val="18"/>
                <w:szCs w:val="18"/>
                <w:lang w:val="es-MX"/>
              </w:rPr>
            </w:pPr>
            <w:r>
              <w:rPr>
                <w:rFonts w:hint="default" w:ascii="Calibri" w:hAnsi="Calibri" w:cs="Calibri"/>
                <w:i w:val="0"/>
                <w:iCs w:val="0"/>
                <w:sz w:val="18"/>
                <w:szCs w:val="18"/>
                <w:lang w:val="es-MX"/>
              </w:rPr>
              <w:t>Descripción</w:t>
            </w:r>
          </w:p>
        </w:tc>
        <w:tc>
          <w:tcPr>
            <w:tcW w:w="0" w:type="auto"/>
            <w:vAlign w:val="center"/>
          </w:tcPr>
          <w:p w14:paraId="68E111BA">
            <w:pPr>
              <w:spacing w:after="0" w:line="240" w:lineRule="auto"/>
              <w:jc w:val="both"/>
              <w:rPr>
                <w:rFonts w:hint="default" w:ascii="Calibri" w:hAnsi="Calibri" w:cs="Calibri"/>
                <w:i w:val="0"/>
                <w:iCs w:val="0"/>
                <w:sz w:val="18"/>
                <w:szCs w:val="18"/>
                <w:lang w:val="es-MX"/>
              </w:rPr>
            </w:pPr>
            <w:r>
              <w:rPr>
                <w:rFonts w:hint="default" w:ascii="Calibri" w:hAnsi="Calibri" w:cs="Calibri"/>
                <w:i w:val="0"/>
                <w:iCs w:val="0"/>
                <w:sz w:val="18"/>
                <w:szCs w:val="18"/>
                <w:lang w:val="es-MX"/>
              </w:rPr>
              <w:t>Revisión de literatura especializada sobre la rebelión de Túpac Amaru II y el rol de Micaela Bastidas, con énfasis en dimensiones familiares, afectivas y simbólicas del proceso histórico.</w:t>
            </w:r>
          </w:p>
        </w:tc>
      </w:tr>
      <w:tr w14:paraId="524A2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2AB61D10">
            <w:pPr>
              <w:spacing w:after="0" w:line="240" w:lineRule="auto"/>
              <w:jc w:val="center"/>
              <w:rPr>
                <w:rFonts w:hint="default" w:ascii="Calibri" w:hAnsi="Calibri" w:cs="Calibri"/>
                <w:i w:val="0"/>
                <w:iCs w:val="0"/>
                <w:sz w:val="18"/>
                <w:szCs w:val="18"/>
                <w:lang w:val="es-MX"/>
              </w:rPr>
            </w:pPr>
            <w:r>
              <w:rPr>
                <w:rFonts w:hint="default" w:ascii="Calibri" w:hAnsi="Calibri" w:cs="Calibri"/>
                <w:i w:val="0"/>
                <w:iCs w:val="0"/>
                <w:sz w:val="18"/>
                <w:szCs w:val="18"/>
                <w:lang w:val="es-MX"/>
              </w:rPr>
              <w:t>Criterios de selección</w:t>
            </w:r>
          </w:p>
        </w:tc>
        <w:tc>
          <w:tcPr>
            <w:tcW w:w="0" w:type="auto"/>
            <w:vAlign w:val="center"/>
          </w:tcPr>
          <w:p w14:paraId="2785C7AE">
            <w:pPr>
              <w:spacing w:after="0" w:line="240" w:lineRule="auto"/>
              <w:jc w:val="both"/>
              <w:rPr>
                <w:rFonts w:hint="default" w:ascii="Calibri" w:hAnsi="Calibri" w:cs="Calibri"/>
                <w:i w:val="0"/>
                <w:iCs w:val="0"/>
                <w:sz w:val="18"/>
                <w:szCs w:val="18"/>
                <w:lang w:val="es-MX"/>
              </w:rPr>
            </w:pPr>
            <w:r>
              <w:rPr>
                <w:rFonts w:hint="default" w:ascii="Calibri" w:hAnsi="Calibri" w:cs="Calibri"/>
                <w:i w:val="0"/>
                <w:iCs w:val="0"/>
                <w:sz w:val="18"/>
                <w:szCs w:val="18"/>
                <w:lang w:val="es-MX"/>
              </w:rPr>
              <w:t>Relevancia temática, rigor académico, reconocimiento en la historiografía y antropología.</w:t>
            </w:r>
          </w:p>
        </w:tc>
      </w:tr>
      <w:tr w14:paraId="727D6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0108026C">
            <w:pPr>
              <w:spacing w:after="0" w:line="240" w:lineRule="auto"/>
              <w:jc w:val="center"/>
              <w:rPr>
                <w:rFonts w:hint="default" w:ascii="Calibri" w:hAnsi="Calibri" w:cs="Calibri"/>
                <w:b/>
                <w:bCs/>
                <w:i w:val="0"/>
                <w:iCs w:val="0"/>
                <w:sz w:val="18"/>
                <w:szCs w:val="18"/>
                <w:lang w:val="es-MX"/>
              </w:rPr>
            </w:pPr>
            <w:r>
              <w:rPr>
                <w:rFonts w:hint="default" w:ascii="Calibri" w:hAnsi="Calibri" w:cs="Calibri"/>
                <w:b/>
                <w:bCs/>
                <w:i w:val="0"/>
                <w:iCs w:val="0"/>
                <w:sz w:val="18"/>
                <w:szCs w:val="18"/>
                <w:lang w:val="es-MX"/>
              </w:rPr>
              <w:t>Estrategia metodológica 2</w:t>
            </w:r>
          </w:p>
        </w:tc>
        <w:tc>
          <w:tcPr>
            <w:tcW w:w="0" w:type="auto"/>
            <w:vAlign w:val="center"/>
          </w:tcPr>
          <w:p w14:paraId="2B518C3A">
            <w:pPr>
              <w:spacing w:after="0" w:line="240" w:lineRule="auto"/>
              <w:jc w:val="center"/>
              <w:rPr>
                <w:rFonts w:hint="default" w:ascii="Calibri" w:hAnsi="Calibri" w:cs="Calibri"/>
                <w:b/>
                <w:bCs/>
                <w:i w:val="0"/>
                <w:iCs w:val="0"/>
                <w:sz w:val="18"/>
                <w:szCs w:val="18"/>
                <w:lang w:val="es-MX"/>
              </w:rPr>
            </w:pPr>
            <w:r>
              <w:rPr>
                <w:rFonts w:hint="default" w:ascii="Calibri" w:hAnsi="Calibri" w:cs="Calibri"/>
                <w:b/>
                <w:bCs/>
                <w:i w:val="0"/>
                <w:iCs w:val="0"/>
                <w:sz w:val="18"/>
                <w:szCs w:val="18"/>
                <w:lang w:val="es-MX"/>
              </w:rPr>
              <w:t>Autoetnografía reflexiva</w:t>
            </w:r>
          </w:p>
        </w:tc>
      </w:tr>
      <w:tr w14:paraId="42C63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4EE20154">
            <w:pPr>
              <w:spacing w:after="0" w:line="240" w:lineRule="auto"/>
              <w:jc w:val="center"/>
              <w:rPr>
                <w:rFonts w:hint="default" w:ascii="Calibri" w:hAnsi="Calibri" w:cs="Calibri"/>
                <w:sz w:val="18"/>
                <w:szCs w:val="18"/>
                <w:lang w:val="es-MX"/>
              </w:rPr>
            </w:pPr>
            <w:r>
              <w:rPr>
                <w:rFonts w:hint="default" w:ascii="Calibri" w:hAnsi="Calibri" w:cs="Calibri"/>
                <w:sz w:val="18"/>
                <w:szCs w:val="18"/>
                <w:lang w:val="es-MX"/>
              </w:rPr>
              <w:t>Descripción</w:t>
            </w:r>
          </w:p>
        </w:tc>
        <w:tc>
          <w:tcPr>
            <w:tcW w:w="0" w:type="auto"/>
            <w:vAlign w:val="center"/>
          </w:tcPr>
          <w:p w14:paraId="4F59CACE">
            <w:pPr>
              <w:spacing w:after="0" w:line="240" w:lineRule="auto"/>
              <w:jc w:val="both"/>
              <w:rPr>
                <w:rFonts w:hint="default" w:ascii="Calibri" w:hAnsi="Calibri" w:cs="Calibri"/>
                <w:sz w:val="18"/>
                <w:szCs w:val="18"/>
                <w:lang w:val="es-MX"/>
              </w:rPr>
            </w:pPr>
            <w:r>
              <w:rPr>
                <w:rFonts w:hint="default" w:ascii="Calibri" w:hAnsi="Calibri" w:cs="Calibri"/>
                <w:sz w:val="18"/>
                <w:szCs w:val="18"/>
                <w:lang w:val="es-MX"/>
              </w:rPr>
              <w:t>Análisis de una experiencia personal contemporánea vinculada a una crisis de salud familiar, utilizada como recurso analítico para explorar la dimensión afectiva de la resistencia y la lucha por la vida.</w:t>
            </w:r>
          </w:p>
        </w:tc>
      </w:tr>
      <w:tr w14:paraId="09C7F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487DE80A">
            <w:pPr>
              <w:spacing w:after="0" w:line="240" w:lineRule="auto"/>
              <w:jc w:val="center"/>
              <w:rPr>
                <w:rFonts w:hint="default" w:ascii="Calibri" w:hAnsi="Calibri" w:cs="Calibri"/>
                <w:sz w:val="18"/>
                <w:szCs w:val="18"/>
                <w:lang w:val="es-MX"/>
              </w:rPr>
            </w:pPr>
            <w:r>
              <w:rPr>
                <w:rFonts w:hint="default" w:ascii="Calibri" w:hAnsi="Calibri" w:cs="Calibri"/>
                <w:sz w:val="18"/>
                <w:szCs w:val="18"/>
                <w:lang w:val="es-MX"/>
              </w:rPr>
              <w:t>Rol del investigador</w:t>
            </w:r>
          </w:p>
        </w:tc>
        <w:tc>
          <w:tcPr>
            <w:tcW w:w="0" w:type="auto"/>
            <w:vAlign w:val="center"/>
          </w:tcPr>
          <w:p w14:paraId="213BAF7C">
            <w:pPr>
              <w:spacing w:after="0" w:line="240" w:lineRule="auto"/>
              <w:jc w:val="both"/>
              <w:rPr>
                <w:rFonts w:hint="default" w:ascii="Calibri" w:hAnsi="Calibri" w:cs="Calibri"/>
                <w:sz w:val="18"/>
                <w:szCs w:val="18"/>
                <w:lang w:val="es-MX"/>
              </w:rPr>
            </w:pPr>
            <w:r>
              <w:rPr>
                <w:rFonts w:hint="default" w:ascii="Calibri" w:hAnsi="Calibri" w:cs="Calibri"/>
                <w:sz w:val="18"/>
                <w:szCs w:val="18"/>
                <w:lang w:val="es-MX"/>
              </w:rPr>
              <w:t>Investigador participante y sujeto reflexivo, que articula vivencia personal con categorías analíticas antropológicas.</w:t>
            </w:r>
          </w:p>
        </w:tc>
      </w:tr>
      <w:tr w14:paraId="5B182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5793036E">
            <w:pPr>
              <w:spacing w:after="0" w:line="240" w:lineRule="auto"/>
              <w:jc w:val="center"/>
              <w:rPr>
                <w:rFonts w:hint="default" w:ascii="Calibri" w:hAnsi="Calibri" w:cs="Calibri"/>
                <w:sz w:val="18"/>
                <w:szCs w:val="18"/>
                <w:lang w:val="es-MX"/>
              </w:rPr>
            </w:pPr>
            <w:r>
              <w:rPr>
                <w:rFonts w:hint="default" w:ascii="Calibri" w:hAnsi="Calibri" w:cs="Calibri"/>
                <w:sz w:val="18"/>
                <w:szCs w:val="18"/>
                <w:lang w:val="es-MX"/>
              </w:rPr>
              <w:t>Procedimiento analítico</w:t>
            </w:r>
          </w:p>
        </w:tc>
        <w:tc>
          <w:tcPr>
            <w:tcW w:w="0" w:type="auto"/>
            <w:vAlign w:val="center"/>
          </w:tcPr>
          <w:p w14:paraId="3DF780E2">
            <w:pPr>
              <w:spacing w:after="0" w:line="240" w:lineRule="auto"/>
              <w:jc w:val="both"/>
              <w:rPr>
                <w:rFonts w:hint="default" w:ascii="Calibri" w:hAnsi="Calibri" w:cs="Calibri"/>
                <w:sz w:val="18"/>
                <w:szCs w:val="18"/>
                <w:lang w:val="es-MX"/>
              </w:rPr>
            </w:pPr>
            <w:r>
              <w:rPr>
                <w:rFonts w:hint="default" w:ascii="Calibri" w:hAnsi="Calibri" w:cs="Calibri"/>
                <w:sz w:val="18"/>
                <w:szCs w:val="18"/>
                <w:lang w:val="es-MX"/>
              </w:rPr>
              <w:t>Reflexión crítica, interpretación narrativa y comparación simbólica entre experiencia personal y procesos históricos.</w:t>
            </w:r>
          </w:p>
        </w:tc>
      </w:tr>
      <w:tr w14:paraId="6C9C1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48162D87">
            <w:pPr>
              <w:spacing w:after="0" w:line="240" w:lineRule="auto"/>
              <w:jc w:val="center"/>
              <w:rPr>
                <w:rFonts w:hint="default" w:ascii="Calibri" w:hAnsi="Calibri" w:cs="Calibri"/>
                <w:sz w:val="18"/>
                <w:szCs w:val="18"/>
                <w:lang w:val="es-MX"/>
              </w:rPr>
            </w:pPr>
            <w:r>
              <w:rPr>
                <w:rFonts w:hint="default" w:ascii="Calibri" w:hAnsi="Calibri" w:cs="Calibri"/>
                <w:sz w:val="18"/>
                <w:szCs w:val="18"/>
                <w:lang w:val="es-MX"/>
              </w:rPr>
              <w:t>Técnica de análisis</w:t>
            </w:r>
          </w:p>
        </w:tc>
        <w:tc>
          <w:tcPr>
            <w:tcW w:w="0" w:type="auto"/>
            <w:vAlign w:val="center"/>
          </w:tcPr>
          <w:p w14:paraId="15DD79F3">
            <w:pPr>
              <w:spacing w:after="0" w:line="240" w:lineRule="auto"/>
              <w:jc w:val="both"/>
              <w:rPr>
                <w:rFonts w:hint="default" w:ascii="Calibri" w:hAnsi="Calibri" w:cs="Calibri"/>
                <w:sz w:val="18"/>
                <w:szCs w:val="18"/>
                <w:lang w:val="es-MX"/>
              </w:rPr>
            </w:pPr>
            <w:r>
              <w:rPr>
                <w:rFonts w:hint="default" w:ascii="Calibri" w:hAnsi="Calibri" w:cs="Calibri"/>
                <w:sz w:val="18"/>
                <w:szCs w:val="18"/>
                <w:lang w:val="es-MX"/>
              </w:rPr>
              <w:t>Análisis interpretativo y hermenéutico de textos históricos y narrativas autoetnográficas.</w:t>
            </w:r>
          </w:p>
        </w:tc>
      </w:tr>
      <w:tr w14:paraId="19BE2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3AB645B7">
            <w:pPr>
              <w:spacing w:after="0" w:line="240" w:lineRule="auto"/>
              <w:jc w:val="center"/>
              <w:rPr>
                <w:rFonts w:hint="default" w:ascii="Calibri" w:hAnsi="Calibri" w:cs="Calibri"/>
                <w:sz w:val="18"/>
                <w:szCs w:val="18"/>
                <w:lang w:val="es-MX"/>
              </w:rPr>
            </w:pPr>
            <w:r>
              <w:rPr>
                <w:rFonts w:hint="default" w:ascii="Calibri" w:hAnsi="Calibri" w:cs="Calibri"/>
                <w:sz w:val="18"/>
                <w:szCs w:val="18"/>
                <w:lang w:val="es-MX"/>
              </w:rPr>
              <w:t>Unidad de análisis</w:t>
            </w:r>
          </w:p>
        </w:tc>
        <w:tc>
          <w:tcPr>
            <w:tcW w:w="0" w:type="auto"/>
            <w:vAlign w:val="center"/>
          </w:tcPr>
          <w:p w14:paraId="7D9D61CE">
            <w:pPr>
              <w:spacing w:after="0" w:line="240" w:lineRule="auto"/>
              <w:jc w:val="both"/>
              <w:rPr>
                <w:rFonts w:hint="default" w:ascii="Calibri" w:hAnsi="Calibri" w:cs="Calibri"/>
                <w:sz w:val="18"/>
                <w:szCs w:val="18"/>
                <w:lang w:val="es-MX"/>
              </w:rPr>
            </w:pPr>
            <w:r>
              <w:rPr>
                <w:rFonts w:hint="default" w:ascii="Calibri" w:hAnsi="Calibri" w:cs="Calibri"/>
                <w:sz w:val="18"/>
                <w:szCs w:val="18"/>
                <w:lang w:val="es-MX"/>
              </w:rPr>
              <w:t>La familia como espacio de resistencia simbólica y afectiva.</w:t>
            </w:r>
          </w:p>
        </w:tc>
      </w:tr>
      <w:tr w14:paraId="3BAD3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2E858F1A">
            <w:pPr>
              <w:spacing w:after="0" w:line="240" w:lineRule="auto"/>
              <w:jc w:val="center"/>
              <w:rPr>
                <w:rFonts w:hint="default" w:ascii="Calibri" w:hAnsi="Calibri" w:cs="Calibri"/>
                <w:sz w:val="18"/>
                <w:szCs w:val="18"/>
                <w:lang w:val="es-MX"/>
              </w:rPr>
            </w:pPr>
            <w:r>
              <w:rPr>
                <w:rFonts w:hint="default" w:ascii="Calibri" w:hAnsi="Calibri" w:cs="Calibri"/>
                <w:sz w:val="18"/>
                <w:szCs w:val="18"/>
                <w:lang w:val="es-MX"/>
              </w:rPr>
              <w:t>Alcance del análisis</w:t>
            </w:r>
          </w:p>
        </w:tc>
        <w:tc>
          <w:tcPr>
            <w:tcW w:w="0" w:type="auto"/>
            <w:vAlign w:val="center"/>
          </w:tcPr>
          <w:p w14:paraId="54CF9C54">
            <w:pPr>
              <w:spacing w:after="0" w:line="240" w:lineRule="auto"/>
              <w:jc w:val="both"/>
              <w:rPr>
                <w:rFonts w:hint="default" w:ascii="Calibri" w:hAnsi="Calibri" w:cs="Calibri"/>
                <w:sz w:val="18"/>
                <w:szCs w:val="18"/>
                <w:lang w:val="es-MX"/>
              </w:rPr>
            </w:pPr>
            <w:r>
              <w:rPr>
                <w:rFonts w:hint="default" w:ascii="Calibri" w:hAnsi="Calibri" w:cs="Calibri"/>
                <w:sz w:val="18"/>
                <w:szCs w:val="18"/>
                <w:lang w:val="es-MX"/>
              </w:rPr>
              <w:t>Comprender resonancias simbólicas entre pasado y presente, sin establecer equivalencias directas entre contextos históricos disímiles.</w:t>
            </w:r>
          </w:p>
        </w:tc>
      </w:tr>
      <w:tr w14:paraId="1E29B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7E673B39">
            <w:pPr>
              <w:spacing w:after="0" w:line="240" w:lineRule="auto"/>
              <w:jc w:val="center"/>
              <w:rPr>
                <w:rFonts w:hint="default" w:ascii="Calibri" w:hAnsi="Calibri" w:cs="Calibri"/>
                <w:sz w:val="18"/>
                <w:szCs w:val="18"/>
                <w:lang w:val="es-MX"/>
              </w:rPr>
            </w:pPr>
            <w:r>
              <w:rPr>
                <w:rFonts w:hint="default" w:ascii="Calibri" w:hAnsi="Calibri" w:cs="Calibri"/>
                <w:sz w:val="18"/>
                <w:szCs w:val="18"/>
                <w:lang w:val="es-MX"/>
              </w:rPr>
              <w:t>Rigor metodológico</w:t>
            </w:r>
          </w:p>
        </w:tc>
        <w:tc>
          <w:tcPr>
            <w:tcW w:w="0" w:type="auto"/>
            <w:vAlign w:val="center"/>
          </w:tcPr>
          <w:p w14:paraId="5957F39D">
            <w:pPr>
              <w:spacing w:after="0" w:line="240" w:lineRule="auto"/>
              <w:jc w:val="both"/>
              <w:rPr>
                <w:rFonts w:hint="default" w:ascii="Calibri" w:hAnsi="Calibri" w:cs="Calibri"/>
                <w:sz w:val="18"/>
                <w:szCs w:val="18"/>
                <w:lang w:val="es-MX"/>
              </w:rPr>
            </w:pPr>
            <w:r>
              <w:rPr>
                <w:rFonts w:hint="default" w:ascii="Calibri" w:hAnsi="Calibri" w:cs="Calibri"/>
                <w:sz w:val="18"/>
                <w:szCs w:val="18"/>
                <w:lang w:val="es-MX"/>
              </w:rPr>
              <w:t>Coherencia teórica, reflexividad del investigador, triangulación conceptual entre historia, antropología y experiencia vivida.</w:t>
            </w:r>
          </w:p>
        </w:tc>
      </w:tr>
      <w:tr w14:paraId="56D9B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4227EADF">
            <w:pPr>
              <w:spacing w:after="0" w:line="240" w:lineRule="auto"/>
              <w:jc w:val="center"/>
              <w:rPr>
                <w:rFonts w:hint="default" w:ascii="Calibri" w:hAnsi="Calibri" w:cs="Calibri"/>
                <w:sz w:val="18"/>
                <w:szCs w:val="18"/>
                <w:lang w:val="es-MX"/>
              </w:rPr>
            </w:pPr>
            <w:r>
              <w:rPr>
                <w:rFonts w:hint="default" w:ascii="Calibri" w:hAnsi="Calibri" w:cs="Calibri"/>
                <w:sz w:val="18"/>
                <w:szCs w:val="18"/>
                <w:lang w:val="es-MX"/>
              </w:rPr>
              <w:t>Limitaciones del estudio</w:t>
            </w:r>
          </w:p>
        </w:tc>
        <w:tc>
          <w:tcPr>
            <w:tcW w:w="0" w:type="auto"/>
            <w:vAlign w:val="center"/>
          </w:tcPr>
          <w:p w14:paraId="106A3E03">
            <w:pPr>
              <w:spacing w:after="0" w:line="240" w:lineRule="auto"/>
              <w:jc w:val="both"/>
              <w:rPr>
                <w:rFonts w:hint="default" w:ascii="Calibri" w:hAnsi="Calibri" w:cs="Calibri"/>
                <w:sz w:val="18"/>
                <w:szCs w:val="18"/>
                <w:lang w:val="es-MX"/>
              </w:rPr>
            </w:pPr>
            <w:r>
              <w:rPr>
                <w:rFonts w:hint="default" w:ascii="Calibri" w:hAnsi="Calibri" w:cs="Calibri"/>
                <w:sz w:val="18"/>
                <w:szCs w:val="18"/>
                <w:lang w:val="es-MX"/>
              </w:rPr>
              <w:t>No busca generalización estadística; el análisis es interpretativo y contextual.</w:t>
            </w:r>
          </w:p>
        </w:tc>
      </w:tr>
      <w:tr w14:paraId="73B69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Borders>
              <w:bottom w:val="single" w:color="auto" w:sz="4" w:space="0"/>
            </w:tcBorders>
            <w:vAlign w:val="center"/>
          </w:tcPr>
          <w:p w14:paraId="79C650F0">
            <w:pPr>
              <w:spacing w:after="0" w:line="240" w:lineRule="auto"/>
              <w:jc w:val="center"/>
              <w:rPr>
                <w:rFonts w:hint="default" w:ascii="Calibri" w:hAnsi="Calibri" w:cs="Calibri"/>
                <w:sz w:val="18"/>
                <w:szCs w:val="18"/>
                <w:lang w:val="es-MX"/>
              </w:rPr>
            </w:pPr>
            <w:r>
              <w:rPr>
                <w:rFonts w:hint="default" w:ascii="Calibri" w:hAnsi="Calibri" w:cs="Calibri"/>
                <w:sz w:val="18"/>
                <w:szCs w:val="18"/>
                <w:lang w:val="es-MX"/>
              </w:rPr>
              <w:t>Consideraciones éticas</w:t>
            </w:r>
          </w:p>
        </w:tc>
        <w:tc>
          <w:tcPr>
            <w:tcW w:w="0" w:type="auto"/>
            <w:tcBorders>
              <w:bottom w:val="single" w:color="auto" w:sz="4" w:space="0"/>
            </w:tcBorders>
            <w:vAlign w:val="center"/>
          </w:tcPr>
          <w:p w14:paraId="481BF5EE">
            <w:pPr>
              <w:spacing w:after="0" w:line="240" w:lineRule="auto"/>
              <w:jc w:val="both"/>
              <w:rPr>
                <w:rFonts w:hint="default" w:ascii="Calibri" w:hAnsi="Calibri" w:cs="Calibri"/>
                <w:sz w:val="18"/>
                <w:szCs w:val="18"/>
                <w:lang w:val="es-MX"/>
              </w:rPr>
            </w:pPr>
            <w:r>
              <w:rPr>
                <w:rFonts w:hint="default" w:ascii="Calibri" w:hAnsi="Calibri" w:cs="Calibri"/>
                <w:sz w:val="18"/>
                <w:szCs w:val="18"/>
                <w:lang w:val="es-MX"/>
              </w:rPr>
              <w:t>Uso responsable de la experiencia personal, resguardo de la intimidad familiar y posicionamiento reflexivo del investigador.</w:t>
            </w:r>
          </w:p>
        </w:tc>
      </w:tr>
    </w:tbl>
    <w:p w14:paraId="41A7A7A3">
      <w:pPr>
        <w:spacing w:after="0" w:line="240" w:lineRule="auto"/>
        <w:jc w:val="both"/>
        <w:rPr>
          <w:rFonts w:hint="default" w:ascii="Calibri" w:hAnsi="Calibri" w:cs="Calibri"/>
          <w:sz w:val="22"/>
          <w:szCs w:val="22"/>
        </w:rPr>
      </w:pPr>
    </w:p>
    <w:p w14:paraId="69B7747D">
      <w:pPr>
        <w:keepNext w:val="0"/>
        <w:keepLines w:val="0"/>
        <w:pageBreakBefore w:val="0"/>
        <w:widowControl/>
        <w:kinsoku/>
        <w:wordWrap/>
        <w:overflowPunct/>
        <w:topLinePunct w:val="0"/>
        <w:autoSpaceDE/>
        <w:autoSpaceDN/>
        <w:bidi w:val="0"/>
        <w:adjustRightInd/>
        <w:snapToGrid/>
        <w:spacing w:after="0" w:line="240" w:lineRule="auto"/>
        <w:ind w:firstLine="720"/>
        <w:jc w:val="both"/>
        <w:textAlignment w:val="auto"/>
        <w:rPr>
          <w:rFonts w:hint="default" w:ascii="Calibri" w:hAnsi="Calibri" w:cs="Calibri"/>
          <w:sz w:val="22"/>
          <w:szCs w:val="22"/>
        </w:rPr>
      </w:pPr>
      <w:r>
        <w:rPr>
          <w:rFonts w:hint="default" w:ascii="Calibri" w:hAnsi="Calibri" w:cs="Calibri"/>
          <w:sz w:val="22"/>
          <w:szCs w:val="22"/>
        </w:rPr>
        <w:t>En este sentido, en la Tabla 1, se observa que, este enfoque permite establecer puentes interpretativos entre procesos históricos y experiencias contemporáneas, sin pretender equipararlos, sino comprender sus resonancias simbólicas.</w:t>
      </w:r>
    </w:p>
    <w:p w14:paraId="7592340E">
      <w:pPr>
        <w:pStyle w:val="3"/>
        <w:rPr>
          <w:rFonts w:cstheme="minorHAnsi"/>
          <w:b w:val="0"/>
          <w:bCs w:val="0"/>
          <w:szCs w:val="24"/>
        </w:rPr>
      </w:pPr>
      <w:r>
        <w:rPr>
          <w:rFonts w:cstheme="minorHAnsi"/>
          <w:szCs w:val="24"/>
        </w:rPr>
        <w:t xml:space="preserve">Resultados </w:t>
      </w:r>
    </w:p>
    <w:p w14:paraId="1D480A59">
      <w:pPr>
        <w:pStyle w:val="19"/>
        <w:spacing w:before="120" w:beforeAutospacing="0" w:after="0" w:afterAutospacing="0"/>
        <w:ind w:firstLine="720"/>
        <w:jc w:val="both"/>
        <w:rPr>
          <w:rFonts w:hint="default" w:asciiTheme="minorHAnsi" w:hAnsiTheme="minorHAnsi" w:cstheme="minorHAnsi"/>
          <w:sz w:val="22"/>
          <w:szCs w:val="22"/>
        </w:rPr>
      </w:pPr>
      <w:r>
        <w:rPr>
          <w:rFonts w:asciiTheme="minorHAnsi" w:hAnsiTheme="minorHAnsi" w:cstheme="minorHAnsi"/>
          <w:sz w:val="22"/>
          <w:szCs w:val="22"/>
        </w:rPr>
        <w:t xml:space="preserve"> </w:t>
      </w:r>
      <w:r>
        <w:rPr>
          <w:rFonts w:hint="default" w:asciiTheme="minorHAnsi" w:hAnsiTheme="minorHAnsi" w:cstheme="minorHAnsi"/>
          <w:sz w:val="22"/>
          <w:szCs w:val="22"/>
        </w:rPr>
        <w:t>Los hallazgos derivados del análisis histórico-documental y la autoetnografía reflexiva permiten caracterizar a la familia como un núcleo de resistencia con capacidad de articulación tanto en contextos de represión política como de crisis vitales. A continuación, se detallan los resultados organizados por las dimensiones del estudio.</w:t>
      </w:r>
    </w:p>
    <w:p w14:paraId="3B2522FB">
      <w:pPr>
        <w:pStyle w:val="4"/>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ind w:firstLine="720"/>
        <w:jc w:val="both"/>
        <w:textAlignment w:val="auto"/>
        <w:rPr>
          <w:rFonts w:hint="default" w:ascii="Calibri" w:hAnsi="Calibri" w:cs="Calibri"/>
          <w:b/>
          <w:bCs/>
          <w:sz w:val="22"/>
          <w:szCs w:val="22"/>
        </w:rPr>
      </w:pPr>
      <w:r>
        <w:rPr>
          <w:rFonts w:hint="default" w:ascii="Calibri" w:hAnsi="Calibri" w:cs="Calibri"/>
          <w:b/>
          <w:bCs/>
          <w:sz w:val="22"/>
          <w:szCs w:val="22"/>
        </w:rPr>
        <w:t>La familia Condorcanqui–Bastidas: Resistencia y articulación política</w:t>
      </w:r>
    </w:p>
    <w:p w14:paraId="492F3029">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ind w:firstLine="720"/>
        <w:jc w:val="both"/>
        <w:textAlignment w:val="auto"/>
        <w:rPr>
          <w:rFonts w:hint="default" w:ascii="Calibri" w:hAnsi="Calibri" w:cs="Calibri"/>
          <w:sz w:val="22"/>
          <w:szCs w:val="22"/>
        </w:rPr>
      </w:pPr>
      <w:r>
        <w:rPr>
          <w:rFonts w:hint="default" w:ascii="Calibri" w:hAnsi="Calibri" w:cs="Calibri"/>
          <w:sz w:val="22"/>
          <w:szCs w:val="22"/>
        </w:rPr>
        <w:t>Los registros históricos analizados confirman que la rebelión de Túpac Amaru II no puede reducirse a una iniciativa individual ni a una coyuntura aislada. Por el contrario, la familia Condorcanqui–Bastidas operó como un nodo estratégico donde los vínculos afectivos, la confianza mutua y el compromiso compartido con la causa indígena constituyeron el soporte fundamental de la acción colectiva. Bajo esta óptica, la familia se configura como un sistema de toma de decisiones y apoyo moral, cuya resiliencia permitió sostener el proyecto insurgente frente a una presión externa constante.</w:t>
      </w:r>
    </w:p>
    <w:p w14:paraId="6CA4E729">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ind w:firstLine="720"/>
        <w:jc w:val="both"/>
        <w:textAlignment w:val="auto"/>
      </w:pPr>
      <w:r>
        <w:rPr>
          <w:rFonts w:hint="default" w:ascii="Calibri" w:hAnsi="Calibri" w:cs="Calibri"/>
          <w:sz w:val="22"/>
          <w:szCs w:val="22"/>
        </w:rPr>
        <w:t>Como se detalla en la Tabla 2, el rol de Micaela Bastidas fue determinante; su capacidad organizativa y su participación directa en decisiones militares desafían las lecturas historiográficas tradicionales que, durante mucho tiempo, le asignaron un papel secundario o meramente acompañante (Kanashiro, 2021). La estructura familiar, por su parte, funcionó como un objetivo táctico y político para el aparato colonial. La persecución, el exilio y la ejecución pública de los miembros del núcleo familiar</w:t>
      </w:r>
      <w:r>
        <w:rPr>
          <w:rFonts w:hint="default" w:ascii="Calibri" w:hAnsi="Calibri" w:cs="Calibri"/>
          <w:sz w:val="22"/>
          <w:szCs w:val="22"/>
          <w:lang w:val="es-ES"/>
        </w:rPr>
        <w:t xml:space="preserve"> </w:t>
      </w:r>
      <w:r>
        <w:rPr>
          <w:rFonts w:hint="default" w:ascii="Calibri" w:hAnsi="Calibri" w:cs="Calibri"/>
          <w:sz w:val="22"/>
          <w:szCs w:val="22"/>
        </w:rPr>
        <w:t>Túpac Amaru II, Micaela Bastidas e Hipólito Condorcanqui</w:t>
      </w:r>
      <w:r>
        <w:rPr>
          <w:rFonts w:hint="default" w:ascii="Calibri" w:hAnsi="Calibri" w:cs="Calibri"/>
          <w:sz w:val="22"/>
          <w:szCs w:val="22"/>
          <w:lang w:val="es-ES"/>
        </w:rPr>
        <w:t>,</w:t>
      </w:r>
      <w:r>
        <w:rPr>
          <w:rFonts w:hint="default" w:ascii="Calibri" w:hAnsi="Calibri" w:cs="Calibri"/>
          <w:sz w:val="22"/>
          <w:szCs w:val="22"/>
        </w:rPr>
        <w:t xml:space="preserve"> no fueron actos aleatorios, sino mecanismos deliberados de disciplinamiento (Cahill, 1999). El poder colonial comprendió, con una lucidez estratégica implacable, que la desarticulación del vínculo familiar era el paso indispensable para anular el potencial subversivo del movimiento; al destruir el núcleo, buscaban fragmentar la identidad colectiva y la fuerza simbólica que la familia proyectaba sobre la población indígena.</w:t>
      </w:r>
    </w:p>
    <w:p w14:paraId="303D9541">
      <w:pPr>
        <w:pStyle w:val="19"/>
        <w:spacing w:before="120" w:beforeAutospacing="0" w:after="0" w:afterAutospacing="0"/>
        <w:ind w:firstLine="720"/>
        <w:jc w:val="both"/>
        <w:rPr>
          <w:rFonts w:hint="default" w:asciiTheme="minorHAnsi" w:hAnsiTheme="minorHAnsi" w:cstheme="minorHAnsi"/>
          <w:sz w:val="22"/>
          <w:szCs w:val="22"/>
        </w:rPr>
      </w:pPr>
    </w:p>
    <w:p w14:paraId="073A4D2E">
      <w:pPr>
        <w:spacing w:after="0" w:line="240" w:lineRule="auto"/>
        <w:jc w:val="both"/>
        <w:rPr>
          <w:rFonts w:hint="default" w:ascii="Calibri" w:hAnsi="Calibri" w:cs="Calibri"/>
          <w:b/>
          <w:bCs/>
          <w:i/>
          <w:iCs/>
          <w:sz w:val="22"/>
          <w:szCs w:val="22"/>
          <w:lang w:val="es-MX"/>
        </w:rPr>
      </w:pPr>
      <w:r>
        <w:rPr>
          <w:rFonts w:hint="default" w:ascii="Calibri" w:hAnsi="Calibri" w:cs="Calibri"/>
          <w:b/>
          <w:bCs/>
          <w:i/>
          <w:iCs/>
          <w:sz w:val="22"/>
          <w:szCs w:val="22"/>
          <w:lang w:val="es-MX"/>
        </w:rPr>
        <w:t xml:space="preserve">Tabla 2. </w:t>
      </w:r>
      <w:r>
        <w:rPr>
          <w:rFonts w:hint="default" w:ascii="Calibri" w:hAnsi="Calibri" w:cs="Calibri"/>
          <w:i/>
          <w:iCs/>
          <w:sz w:val="22"/>
          <w:szCs w:val="22"/>
          <w:lang w:val="es-MX"/>
        </w:rPr>
        <w:t>Roles familiares y formas de resistencia</w:t>
      </w:r>
    </w:p>
    <w:p w14:paraId="4A7FD06A">
      <w:pPr>
        <w:spacing w:after="0" w:line="240" w:lineRule="auto"/>
        <w:jc w:val="both"/>
        <w:rPr>
          <w:rFonts w:hint="default" w:ascii="Calibri" w:hAnsi="Calibri" w:cs="Calibri"/>
          <w:b/>
          <w:bCs/>
          <w:i/>
          <w:iCs/>
          <w:sz w:val="22"/>
          <w:szCs w:val="22"/>
          <w:lang w:val="es-MX"/>
        </w:rPr>
      </w:pPr>
    </w:p>
    <w:tbl>
      <w:tblPr>
        <w:tblStyle w:val="24"/>
        <w:tblW w:w="0" w:type="auto"/>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85"/>
        <w:gridCol w:w="1827"/>
        <w:gridCol w:w="4269"/>
        <w:gridCol w:w="1670"/>
      </w:tblGrid>
      <w:tr w14:paraId="2347706B">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shd w:val="clear" w:color="auto" w:fill="000000" w:themeFill="text1"/>
            <w:vAlign w:val="center"/>
          </w:tcPr>
          <w:p w14:paraId="62AF989A">
            <w:pPr>
              <w:spacing w:after="0" w:line="240" w:lineRule="auto"/>
              <w:jc w:val="center"/>
              <w:rPr>
                <w:rFonts w:hint="default" w:ascii="Calibri" w:hAnsi="Calibri" w:cs="Calibri"/>
                <w:b/>
                <w:bCs/>
                <w:color w:val="FFFFFF" w:themeColor="background1"/>
                <w:sz w:val="16"/>
                <w:szCs w:val="16"/>
                <w:lang w:val="es-MX"/>
                <w14:textFill>
                  <w14:solidFill>
                    <w14:schemeClr w14:val="bg1"/>
                  </w14:solidFill>
                </w14:textFill>
              </w:rPr>
            </w:pPr>
            <w:r>
              <w:rPr>
                <w:rFonts w:hint="default" w:ascii="Calibri" w:hAnsi="Calibri" w:cs="Calibri"/>
                <w:b/>
                <w:bCs/>
                <w:color w:val="FFFFFF" w:themeColor="background1"/>
                <w:sz w:val="16"/>
                <w:szCs w:val="16"/>
                <w:lang w:val="es-MX"/>
                <w14:textFill>
                  <w14:solidFill>
                    <w14:schemeClr w14:val="bg1"/>
                  </w14:solidFill>
                </w14:textFill>
              </w:rPr>
              <w:t>Miembro de la familia</w:t>
            </w:r>
          </w:p>
        </w:tc>
        <w:tc>
          <w:tcPr>
            <w:tcW w:w="0" w:type="auto"/>
            <w:shd w:val="clear" w:color="auto" w:fill="000000" w:themeFill="text1"/>
            <w:vAlign w:val="center"/>
          </w:tcPr>
          <w:p w14:paraId="057E434F">
            <w:pPr>
              <w:spacing w:after="0" w:line="240" w:lineRule="auto"/>
              <w:jc w:val="center"/>
              <w:rPr>
                <w:rFonts w:hint="default" w:ascii="Calibri" w:hAnsi="Calibri" w:cs="Calibri"/>
                <w:b/>
                <w:bCs/>
                <w:color w:val="FFFFFF" w:themeColor="background1"/>
                <w:sz w:val="16"/>
                <w:szCs w:val="16"/>
                <w:lang w:val="es-MX"/>
                <w14:textFill>
                  <w14:solidFill>
                    <w14:schemeClr w14:val="bg1"/>
                  </w14:solidFill>
                </w14:textFill>
              </w:rPr>
            </w:pPr>
            <w:r>
              <w:rPr>
                <w:rFonts w:hint="default" w:ascii="Calibri" w:hAnsi="Calibri" w:cs="Calibri"/>
                <w:b/>
                <w:bCs/>
                <w:color w:val="FFFFFF" w:themeColor="background1"/>
                <w:sz w:val="16"/>
                <w:szCs w:val="16"/>
                <w:lang w:val="es-MX"/>
                <w14:textFill>
                  <w14:solidFill>
                    <w14:schemeClr w14:val="bg1"/>
                  </w14:solidFill>
                </w14:textFill>
              </w:rPr>
              <w:t>Rol desempeñado</w:t>
            </w:r>
          </w:p>
        </w:tc>
        <w:tc>
          <w:tcPr>
            <w:tcW w:w="4269" w:type="dxa"/>
            <w:shd w:val="clear" w:color="auto" w:fill="000000" w:themeFill="text1"/>
            <w:vAlign w:val="center"/>
          </w:tcPr>
          <w:p w14:paraId="57E8EEBC">
            <w:pPr>
              <w:spacing w:after="0" w:line="240" w:lineRule="auto"/>
              <w:jc w:val="center"/>
              <w:rPr>
                <w:rFonts w:hint="default" w:ascii="Calibri" w:hAnsi="Calibri" w:cs="Calibri"/>
                <w:b/>
                <w:bCs/>
                <w:color w:val="FFFFFF" w:themeColor="background1"/>
                <w:sz w:val="16"/>
                <w:szCs w:val="16"/>
                <w:lang w:val="es-MX"/>
                <w14:textFill>
                  <w14:solidFill>
                    <w14:schemeClr w14:val="bg1"/>
                  </w14:solidFill>
                </w14:textFill>
              </w:rPr>
            </w:pPr>
            <w:r>
              <w:rPr>
                <w:rFonts w:hint="default" w:ascii="Calibri" w:hAnsi="Calibri" w:cs="Calibri"/>
                <w:b/>
                <w:bCs/>
                <w:color w:val="FFFFFF" w:themeColor="background1"/>
                <w:sz w:val="16"/>
                <w:szCs w:val="16"/>
                <w:lang w:val="es-MX"/>
                <w14:textFill>
                  <w14:solidFill>
                    <w14:schemeClr w14:val="bg1"/>
                  </w14:solidFill>
                </w14:textFill>
              </w:rPr>
              <w:t>Forma de resistencia</w:t>
            </w:r>
          </w:p>
        </w:tc>
        <w:tc>
          <w:tcPr>
            <w:tcW w:w="1670" w:type="dxa"/>
            <w:shd w:val="clear" w:color="auto" w:fill="000000" w:themeFill="text1"/>
            <w:vAlign w:val="center"/>
          </w:tcPr>
          <w:p w14:paraId="1E1B959D">
            <w:pPr>
              <w:spacing w:after="0" w:line="240" w:lineRule="auto"/>
              <w:jc w:val="center"/>
              <w:rPr>
                <w:rFonts w:hint="default" w:ascii="Calibri" w:hAnsi="Calibri" w:cs="Calibri"/>
                <w:b/>
                <w:bCs/>
                <w:color w:val="FFFFFF" w:themeColor="background1"/>
                <w:sz w:val="16"/>
                <w:szCs w:val="16"/>
                <w:lang w:val="es-MX"/>
                <w14:textFill>
                  <w14:solidFill>
                    <w14:schemeClr w14:val="bg1"/>
                  </w14:solidFill>
                </w14:textFill>
              </w:rPr>
            </w:pPr>
            <w:r>
              <w:rPr>
                <w:rFonts w:hint="default" w:ascii="Calibri" w:hAnsi="Calibri" w:cs="Calibri"/>
                <w:b/>
                <w:bCs/>
                <w:color w:val="FFFFFF" w:themeColor="background1"/>
                <w:sz w:val="16"/>
                <w:szCs w:val="16"/>
                <w:lang w:val="es-MX"/>
                <w14:textFill>
                  <w14:solidFill>
                    <w14:schemeClr w14:val="bg1"/>
                  </w14:solidFill>
                </w14:textFill>
              </w:rPr>
              <w:t>Consecuencias</w:t>
            </w:r>
          </w:p>
        </w:tc>
      </w:tr>
      <w:tr w14:paraId="4B1CCC5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06B07E2F">
            <w:pPr>
              <w:spacing w:after="0" w:line="240" w:lineRule="auto"/>
              <w:jc w:val="left"/>
              <w:rPr>
                <w:rFonts w:hint="default" w:ascii="Calibri" w:hAnsi="Calibri" w:cs="Calibri"/>
                <w:sz w:val="16"/>
                <w:szCs w:val="16"/>
                <w:lang w:val="es-MX"/>
              </w:rPr>
            </w:pPr>
            <w:r>
              <w:rPr>
                <w:rFonts w:hint="default" w:ascii="Calibri" w:hAnsi="Calibri" w:cs="Calibri"/>
                <w:sz w:val="16"/>
                <w:szCs w:val="16"/>
                <w:lang w:val="es-MX"/>
              </w:rPr>
              <w:t>Túpac Amaru II</w:t>
            </w:r>
          </w:p>
        </w:tc>
        <w:tc>
          <w:tcPr>
            <w:tcW w:w="0" w:type="auto"/>
            <w:vAlign w:val="center"/>
          </w:tcPr>
          <w:p w14:paraId="3BE5853A">
            <w:pPr>
              <w:spacing w:after="0" w:line="240" w:lineRule="auto"/>
              <w:jc w:val="center"/>
              <w:rPr>
                <w:rFonts w:hint="default" w:ascii="Calibri" w:hAnsi="Calibri" w:cs="Calibri"/>
                <w:sz w:val="16"/>
                <w:szCs w:val="16"/>
                <w:lang w:val="es-MX"/>
              </w:rPr>
            </w:pPr>
            <w:r>
              <w:rPr>
                <w:rFonts w:hint="default" w:ascii="Calibri" w:hAnsi="Calibri" w:cs="Calibri"/>
                <w:sz w:val="16"/>
                <w:szCs w:val="16"/>
                <w:lang w:val="es-MX"/>
              </w:rPr>
              <w:t>Líder político y simbólico</w:t>
            </w:r>
          </w:p>
        </w:tc>
        <w:tc>
          <w:tcPr>
            <w:tcW w:w="4269" w:type="dxa"/>
            <w:vAlign w:val="center"/>
          </w:tcPr>
          <w:p w14:paraId="6F34C5BA">
            <w:pPr>
              <w:spacing w:after="0" w:line="240" w:lineRule="auto"/>
              <w:jc w:val="center"/>
              <w:rPr>
                <w:rFonts w:hint="default" w:ascii="Calibri" w:hAnsi="Calibri" w:cs="Calibri"/>
                <w:sz w:val="16"/>
                <w:szCs w:val="16"/>
                <w:lang w:val="es-MX"/>
              </w:rPr>
            </w:pPr>
            <w:r>
              <w:rPr>
                <w:rFonts w:hint="default" w:ascii="Calibri" w:hAnsi="Calibri" w:cs="Calibri"/>
                <w:sz w:val="16"/>
                <w:szCs w:val="16"/>
                <w:lang w:val="es-MX"/>
              </w:rPr>
              <w:t>Dirección del levantamiento y articulación del proyecto insurgente</w:t>
            </w:r>
          </w:p>
        </w:tc>
        <w:tc>
          <w:tcPr>
            <w:tcW w:w="1670" w:type="dxa"/>
            <w:vAlign w:val="center"/>
          </w:tcPr>
          <w:p w14:paraId="56927199">
            <w:pPr>
              <w:spacing w:after="0" w:line="240" w:lineRule="auto"/>
              <w:jc w:val="center"/>
              <w:rPr>
                <w:rFonts w:hint="default" w:ascii="Calibri" w:hAnsi="Calibri" w:cs="Calibri"/>
                <w:sz w:val="16"/>
                <w:szCs w:val="16"/>
                <w:lang w:val="es-MX"/>
              </w:rPr>
            </w:pPr>
            <w:r>
              <w:rPr>
                <w:rFonts w:hint="default" w:ascii="Calibri" w:hAnsi="Calibri" w:cs="Calibri"/>
                <w:sz w:val="16"/>
                <w:szCs w:val="16"/>
                <w:lang w:val="es-MX"/>
              </w:rPr>
              <w:t>Ejecución pública</w:t>
            </w:r>
          </w:p>
        </w:tc>
      </w:tr>
      <w:tr w14:paraId="554FB318">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2AD792E0">
            <w:pPr>
              <w:spacing w:after="0" w:line="240" w:lineRule="auto"/>
              <w:jc w:val="left"/>
              <w:rPr>
                <w:rFonts w:hint="default" w:ascii="Calibri" w:hAnsi="Calibri" w:cs="Calibri"/>
                <w:sz w:val="16"/>
                <w:szCs w:val="16"/>
                <w:lang w:val="es-MX"/>
              </w:rPr>
            </w:pPr>
            <w:r>
              <w:rPr>
                <w:rFonts w:hint="default" w:ascii="Calibri" w:hAnsi="Calibri" w:cs="Calibri"/>
                <w:sz w:val="16"/>
                <w:szCs w:val="16"/>
                <w:lang w:val="es-MX"/>
              </w:rPr>
              <w:t>Micaela Bastidas</w:t>
            </w:r>
          </w:p>
        </w:tc>
        <w:tc>
          <w:tcPr>
            <w:tcW w:w="0" w:type="auto"/>
            <w:vAlign w:val="center"/>
          </w:tcPr>
          <w:p w14:paraId="2B2A657B">
            <w:pPr>
              <w:spacing w:after="0" w:line="240" w:lineRule="auto"/>
              <w:jc w:val="center"/>
              <w:rPr>
                <w:rFonts w:hint="default" w:ascii="Calibri" w:hAnsi="Calibri" w:cs="Calibri"/>
                <w:sz w:val="16"/>
                <w:szCs w:val="16"/>
                <w:lang w:val="es-MX"/>
              </w:rPr>
            </w:pPr>
            <w:r>
              <w:rPr>
                <w:rFonts w:hint="default" w:ascii="Calibri" w:hAnsi="Calibri" w:cs="Calibri"/>
                <w:sz w:val="16"/>
                <w:szCs w:val="16"/>
                <w:lang w:val="es-MX"/>
              </w:rPr>
              <w:t>Estratega y organizadora</w:t>
            </w:r>
          </w:p>
        </w:tc>
        <w:tc>
          <w:tcPr>
            <w:tcW w:w="4269" w:type="dxa"/>
            <w:vAlign w:val="center"/>
          </w:tcPr>
          <w:p w14:paraId="1483EBD0">
            <w:pPr>
              <w:spacing w:after="0" w:line="240" w:lineRule="auto"/>
              <w:jc w:val="center"/>
              <w:rPr>
                <w:rFonts w:hint="default" w:ascii="Calibri" w:hAnsi="Calibri" w:cs="Calibri"/>
                <w:sz w:val="16"/>
                <w:szCs w:val="16"/>
                <w:lang w:val="es-MX"/>
              </w:rPr>
            </w:pPr>
            <w:r>
              <w:rPr>
                <w:rFonts w:hint="default" w:ascii="Calibri" w:hAnsi="Calibri" w:cs="Calibri"/>
                <w:sz w:val="16"/>
                <w:szCs w:val="16"/>
                <w:lang w:val="es-MX"/>
              </w:rPr>
              <w:t>Liderazgo político-militar y cohesión familiar</w:t>
            </w:r>
          </w:p>
        </w:tc>
        <w:tc>
          <w:tcPr>
            <w:tcW w:w="1670" w:type="dxa"/>
            <w:vAlign w:val="center"/>
          </w:tcPr>
          <w:p w14:paraId="23FA5305">
            <w:pPr>
              <w:spacing w:after="0" w:line="240" w:lineRule="auto"/>
              <w:jc w:val="center"/>
              <w:rPr>
                <w:rFonts w:hint="default" w:ascii="Calibri" w:hAnsi="Calibri" w:cs="Calibri"/>
                <w:sz w:val="16"/>
                <w:szCs w:val="16"/>
                <w:lang w:val="es-MX"/>
              </w:rPr>
            </w:pPr>
            <w:r>
              <w:rPr>
                <w:rFonts w:hint="default" w:ascii="Calibri" w:hAnsi="Calibri" w:cs="Calibri"/>
                <w:sz w:val="16"/>
                <w:szCs w:val="16"/>
                <w:lang w:val="es-MX"/>
              </w:rPr>
              <w:t>Ejecución pública</w:t>
            </w:r>
          </w:p>
        </w:tc>
      </w:tr>
      <w:tr w14:paraId="538F6278">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6D96761C">
            <w:pPr>
              <w:spacing w:after="0" w:line="240" w:lineRule="auto"/>
              <w:jc w:val="left"/>
              <w:rPr>
                <w:rFonts w:hint="default" w:ascii="Calibri" w:hAnsi="Calibri" w:cs="Calibri"/>
                <w:sz w:val="16"/>
                <w:szCs w:val="16"/>
                <w:lang w:val="es-MX"/>
              </w:rPr>
            </w:pPr>
            <w:r>
              <w:rPr>
                <w:rFonts w:hint="default" w:ascii="Calibri" w:hAnsi="Calibri" w:cs="Calibri"/>
                <w:sz w:val="16"/>
                <w:szCs w:val="16"/>
                <w:lang w:val="es-MX"/>
              </w:rPr>
              <w:t>Hipólito Condorcanqui</w:t>
            </w:r>
          </w:p>
        </w:tc>
        <w:tc>
          <w:tcPr>
            <w:tcW w:w="0" w:type="auto"/>
            <w:vAlign w:val="center"/>
          </w:tcPr>
          <w:p w14:paraId="403DFA92">
            <w:pPr>
              <w:spacing w:after="0" w:line="240" w:lineRule="auto"/>
              <w:jc w:val="center"/>
              <w:rPr>
                <w:rFonts w:hint="default" w:ascii="Calibri" w:hAnsi="Calibri" w:cs="Calibri"/>
                <w:sz w:val="16"/>
                <w:szCs w:val="16"/>
                <w:lang w:val="es-MX"/>
              </w:rPr>
            </w:pPr>
            <w:r>
              <w:rPr>
                <w:rFonts w:hint="default" w:ascii="Calibri" w:hAnsi="Calibri" w:cs="Calibri"/>
                <w:sz w:val="16"/>
                <w:szCs w:val="16"/>
                <w:lang w:val="es-MX"/>
              </w:rPr>
              <w:t>Apoyo operativo</w:t>
            </w:r>
          </w:p>
        </w:tc>
        <w:tc>
          <w:tcPr>
            <w:tcW w:w="4269" w:type="dxa"/>
            <w:vAlign w:val="center"/>
          </w:tcPr>
          <w:p w14:paraId="24C28A2F">
            <w:pPr>
              <w:spacing w:after="0" w:line="240" w:lineRule="auto"/>
              <w:jc w:val="center"/>
              <w:rPr>
                <w:rFonts w:hint="default" w:ascii="Calibri" w:hAnsi="Calibri" w:cs="Calibri"/>
                <w:sz w:val="16"/>
                <w:szCs w:val="16"/>
                <w:lang w:val="es-MX"/>
              </w:rPr>
            </w:pPr>
            <w:r>
              <w:rPr>
                <w:rFonts w:hint="default" w:ascii="Calibri" w:hAnsi="Calibri" w:cs="Calibri"/>
                <w:sz w:val="16"/>
                <w:szCs w:val="16"/>
                <w:lang w:val="es-MX"/>
              </w:rPr>
              <w:t>Participación activa en la rebelión</w:t>
            </w:r>
          </w:p>
        </w:tc>
        <w:tc>
          <w:tcPr>
            <w:tcW w:w="1670" w:type="dxa"/>
            <w:vAlign w:val="center"/>
          </w:tcPr>
          <w:p w14:paraId="563BEA11">
            <w:pPr>
              <w:spacing w:after="0" w:line="240" w:lineRule="auto"/>
              <w:jc w:val="center"/>
              <w:rPr>
                <w:rFonts w:hint="default" w:ascii="Calibri" w:hAnsi="Calibri" w:cs="Calibri"/>
                <w:sz w:val="16"/>
                <w:szCs w:val="16"/>
                <w:lang w:val="es-MX"/>
              </w:rPr>
            </w:pPr>
            <w:r>
              <w:rPr>
                <w:rFonts w:hint="default" w:ascii="Calibri" w:hAnsi="Calibri" w:cs="Calibri"/>
                <w:sz w:val="16"/>
                <w:szCs w:val="16"/>
                <w:lang w:val="es-MX"/>
              </w:rPr>
              <w:t>Ejecución</w:t>
            </w:r>
          </w:p>
        </w:tc>
      </w:tr>
      <w:tr w14:paraId="52AAD9B5">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3EC17CB2">
            <w:pPr>
              <w:spacing w:after="0" w:line="240" w:lineRule="auto"/>
              <w:jc w:val="left"/>
              <w:rPr>
                <w:rFonts w:hint="default" w:ascii="Calibri" w:hAnsi="Calibri" w:cs="Calibri"/>
                <w:sz w:val="16"/>
                <w:szCs w:val="16"/>
                <w:lang w:val="es-MX"/>
              </w:rPr>
            </w:pPr>
            <w:r>
              <w:rPr>
                <w:rFonts w:hint="default" w:ascii="Calibri" w:hAnsi="Calibri" w:cs="Calibri"/>
                <w:sz w:val="16"/>
                <w:szCs w:val="16"/>
                <w:lang w:val="es-MX"/>
              </w:rPr>
              <w:t>Mariano y Fernando</w:t>
            </w:r>
          </w:p>
        </w:tc>
        <w:tc>
          <w:tcPr>
            <w:tcW w:w="0" w:type="auto"/>
            <w:vAlign w:val="center"/>
          </w:tcPr>
          <w:p w14:paraId="1FD9901C">
            <w:pPr>
              <w:spacing w:after="0" w:line="240" w:lineRule="auto"/>
              <w:jc w:val="both"/>
              <w:rPr>
                <w:rFonts w:hint="default" w:ascii="Calibri" w:hAnsi="Calibri" w:cs="Calibri"/>
                <w:sz w:val="16"/>
                <w:szCs w:val="16"/>
                <w:lang w:val="es-MX"/>
              </w:rPr>
            </w:pPr>
            <w:r>
              <w:rPr>
                <w:rFonts w:hint="default" w:ascii="Calibri" w:hAnsi="Calibri" w:cs="Calibri"/>
                <w:sz w:val="16"/>
                <w:szCs w:val="16"/>
                <w:lang w:val="es-MX"/>
              </w:rPr>
              <w:t>Herederos simbólicos</w:t>
            </w:r>
          </w:p>
        </w:tc>
        <w:tc>
          <w:tcPr>
            <w:tcW w:w="4269" w:type="dxa"/>
            <w:vAlign w:val="center"/>
          </w:tcPr>
          <w:p w14:paraId="787A34AC">
            <w:pPr>
              <w:spacing w:after="0" w:line="240" w:lineRule="auto"/>
              <w:jc w:val="both"/>
              <w:rPr>
                <w:rFonts w:hint="default" w:ascii="Calibri" w:hAnsi="Calibri" w:cs="Calibri"/>
                <w:sz w:val="16"/>
                <w:szCs w:val="16"/>
                <w:lang w:val="es-MX"/>
              </w:rPr>
            </w:pPr>
            <w:r>
              <w:rPr>
                <w:rFonts w:hint="default" w:ascii="Calibri" w:hAnsi="Calibri" w:cs="Calibri"/>
                <w:sz w:val="16"/>
                <w:szCs w:val="16"/>
                <w:lang w:val="es-MX"/>
              </w:rPr>
              <w:t>Continuidad familiar del proyecto</w:t>
            </w:r>
          </w:p>
        </w:tc>
        <w:tc>
          <w:tcPr>
            <w:tcW w:w="1670" w:type="dxa"/>
            <w:vAlign w:val="center"/>
          </w:tcPr>
          <w:p w14:paraId="034394A9">
            <w:pPr>
              <w:spacing w:after="0" w:line="240" w:lineRule="auto"/>
              <w:jc w:val="both"/>
              <w:rPr>
                <w:rFonts w:hint="default" w:ascii="Calibri" w:hAnsi="Calibri" w:cs="Calibri"/>
                <w:sz w:val="16"/>
                <w:szCs w:val="16"/>
                <w:lang w:val="es-MX"/>
              </w:rPr>
            </w:pPr>
            <w:r>
              <w:rPr>
                <w:rFonts w:hint="default" w:ascii="Calibri" w:hAnsi="Calibri" w:cs="Calibri"/>
                <w:sz w:val="16"/>
                <w:szCs w:val="16"/>
                <w:lang w:val="es-MX"/>
              </w:rPr>
              <w:t>Exilio y maltrato</w:t>
            </w:r>
          </w:p>
        </w:tc>
      </w:tr>
    </w:tbl>
    <w:p w14:paraId="42897582">
      <w:pPr>
        <w:pStyle w:val="4"/>
        <w:keepNext w:val="0"/>
        <w:keepLines w:val="0"/>
        <w:pageBreakBefore w:val="0"/>
        <w:widowControl/>
        <w:suppressLineNumbers w:val="0"/>
        <w:kinsoku/>
        <w:wordWrap/>
        <w:overflowPunct/>
        <w:topLinePunct w:val="0"/>
        <w:autoSpaceDE/>
        <w:autoSpaceDN/>
        <w:bidi w:val="0"/>
        <w:adjustRightInd/>
        <w:snapToGrid/>
        <w:spacing w:before="240" w:beforeAutospacing="0" w:after="0" w:afterAutospacing="0" w:line="240" w:lineRule="auto"/>
        <w:ind w:firstLine="720"/>
        <w:jc w:val="both"/>
        <w:textAlignment w:val="auto"/>
        <w:rPr>
          <w:rFonts w:hint="default" w:ascii="Calibri" w:hAnsi="Calibri" w:cs="Calibri"/>
          <w:b/>
          <w:bCs/>
          <w:sz w:val="22"/>
          <w:szCs w:val="22"/>
        </w:rPr>
      </w:pPr>
      <w:r>
        <w:rPr>
          <w:rFonts w:hint="default" w:ascii="Calibri" w:hAnsi="Calibri" w:cs="Calibri"/>
          <w:b/>
          <w:bCs/>
          <w:sz w:val="22"/>
          <w:szCs w:val="22"/>
        </w:rPr>
        <w:t>La experiencia contemporánea: enfermedad, tiempo y familia</w:t>
      </w:r>
    </w:p>
    <w:p w14:paraId="33E18281">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line="240" w:lineRule="auto"/>
        <w:ind w:firstLine="720"/>
        <w:jc w:val="both"/>
        <w:textAlignment w:val="auto"/>
        <w:rPr>
          <w:rFonts w:hint="default" w:ascii="Calibri" w:hAnsi="Calibri" w:cs="Calibri"/>
          <w:b w:val="0"/>
          <w:bCs w:val="0"/>
          <w:sz w:val="22"/>
          <w:szCs w:val="22"/>
        </w:rPr>
      </w:pPr>
      <w:r>
        <w:rPr>
          <w:rFonts w:hint="default" w:ascii="Calibri" w:hAnsi="Calibri" w:cs="Calibri"/>
          <w:b w:val="0"/>
          <w:bCs w:val="0"/>
          <w:sz w:val="22"/>
          <w:szCs w:val="22"/>
        </w:rPr>
        <w:t>La experiencia contemporánea de una crisis de salud grave en el ámbito familiar permite identificar patrones de resistencia afectiva que, aunque situados en un contexto histórico distinto, presentan resonancias simbólicas con la experiencia de la familia Condorcanqui–Bastidas. La enfermedad de un padre, enfrentada desde la incertidumbre, el temor y la fragilidad de la vida, activó dinámicas intensas de solidaridad, acompañamiento emocional y reconfiguración de prioridades vitales.</w:t>
      </w:r>
    </w:p>
    <w:p w14:paraId="2DA92A22">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line="240" w:lineRule="auto"/>
        <w:ind w:firstLine="720"/>
        <w:jc w:val="both"/>
        <w:textAlignment w:val="auto"/>
        <w:rPr>
          <w:rFonts w:hint="default" w:ascii="Calibri" w:hAnsi="Calibri" w:eastAsia="sans-serif" w:cs="Calibri"/>
          <w:sz w:val="22"/>
          <w:szCs w:val="22"/>
          <w:lang w:val="es-ES"/>
        </w:rPr>
      </w:pPr>
      <w:r>
        <w:rPr>
          <w:rFonts w:hint="default" w:ascii="Calibri" w:hAnsi="Calibri" w:cs="Calibri"/>
          <w:b w:val="0"/>
          <w:bCs w:val="0"/>
          <w:sz w:val="22"/>
          <w:szCs w:val="22"/>
          <w:lang w:val="es-ES"/>
        </w:rPr>
        <w:t>E</w:t>
      </w:r>
      <w:r>
        <w:rPr>
          <w:rFonts w:hint="default" w:ascii="Calibri" w:hAnsi="Calibri" w:eastAsia="sans-serif" w:cs="Calibri"/>
          <w:sz w:val="22"/>
          <w:szCs w:val="22"/>
        </w:rPr>
        <w:t xml:space="preserve">ste fenómeno encuentra sustento en lo que Fargas Peñarrocha (2021) denomina la </w:t>
      </w:r>
      <w:r>
        <w:rPr>
          <w:rFonts w:hint="default" w:ascii="Calibri" w:hAnsi="Calibri" w:eastAsia="sans-serif" w:cs="Calibri"/>
          <w:b w:val="0"/>
          <w:bCs w:val="0"/>
          <w:sz w:val="22"/>
          <w:szCs w:val="22"/>
        </w:rPr>
        <w:t>antropología de lo íntimo</w:t>
      </w:r>
      <w:r>
        <w:rPr>
          <w:rFonts w:hint="default" w:ascii="Calibri" w:hAnsi="Calibri" w:eastAsia="sans-serif" w:cs="Calibri"/>
          <w:sz w:val="22"/>
          <w:szCs w:val="22"/>
        </w:rPr>
        <w:t>, donde la familia deja de ser una estructura estática para convertirse en un espacio de producción de sentidos frente al riesgo. Como se detalla en la Tabla 3, esta vivencia implica una reconfiguración de dimensiones vitales que trascienden lo clínico</w:t>
      </w:r>
      <w:r>
        <w:rPr>
          <w:rFonts w:hint="default" w:ascii="Calibri" w:hAnsi="Calibri" w:eastAsia="sans-serif" w:cs="Calibri"/>
          <w:sz w:val="22"/>
          <w:szCs w:val="22"/>
          <w:lang w:val="es-ES"/>
        </w:rPr>
        <w:t>.</w:t>
      </w:r>
    </w:p>
    <w:p w14:paraId="2A2B2898">
      <w:pPr>
        <w:keepNext w:val="0"/>
        <w:keepLines w:val="0"/>
        <w:pageBreakBefore w:val="0"/>
        <w:widowControl/>
        <w:kinsoku/>
        <w:wordWrap/>
        <w:overflowPunct/>
        <w:topLinePunct w:val="0"/>
        <w:autoSpaceDE/>
        <w:autoSpaceDN/>
        <w:bidi w:val="0"/>
        <w:adjustRightInd/>
        <w:snapToGrid/>
        <w:spacing w:before="240" w:after="120" w:line="240" w:lineRule="auto"/>
        <w:jc w:val="both"/>
        <w:textAlignment w:val="auto"/>
        <w:rPr>
          <w:rFonts w:hint="default" w:ascii="Calibri" w:hAnsi="Calibri" w:cs="Calibri"/>
          <w:b/>
          <w:bCs/>
          <w:sz w:val="22"/>
          <w:szCs w:val="22"/>
          <w:lang w:val="es-MX"/>
        </w:rPr>
      </w:pPr>
      <w:r>
        <w:rPr>
          <w:rFonts w:hint="default" w:ascii="Calibri" w:hAnsi="Calibri" w:cs="Calibri"/>
          <w:b/>
          <w:bCs/>
          <w:sz w:val="22"/>
          <w:szCs w:val="22"/>
          <w:lang w:val="es-MX"/>
        </w:rPr>
        <w:t xml:space="preserve">Tabla 3. </w:t>
      </w:r>
      <w:r>
        <w:rPr>
          <w:rFonts w:hint="default" w:ascii="Calibri" w:hAnsi="Calibri" w:cs="Calibri"/>
          <w:sz w:val="22"/>
          <w:szCs w:val="22"/>
          <w:lang w:val="es-MX"/>
        </w:rPr>
        <w:t>La resistencia afectiva en la experiencia contemporánea</w:t>
      </w:r>
    </w:p>
    <w:tbl>
      <w:tblPr>
        <w:tblStyle w:val="24"/>
        <w:tblW w:w="0" w:type="auto"/>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15"/>
        <w:gridCol w:w="2039"/>
        <w:gridCol w:w="2152"/>
      </w:tblGrid>
      <w:tr w14:paraId="415C754C">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shd w:val="clear" w:color="auto" w:fill="000000" w:themeFill="text1"/>
            <w:vAlign w:val="center"/>
          </w:tcPr>
          <w:p w14:paraId="40F2F378">
            <w:pPr>
              <w:spacing w:after="0" w:line="240" w:lineRule="auto"/>
              <w:jc w:val="center"/>
              <w:rPr>
                <w:rFonts w:hint="default" w:ascii="Calibri" w:hAnsi="Calibri" w:cs="Calibri"/>
                <w:b/>
                <w:bCs/>
                <w:color w:val="FFFFFF" w:themeColor="background1"/>
                <w:sz w:val="16"/>
                <w:szCs w:val="16"/>
                <w:lang w:val="es-MX"/>
                <w14:textFill>
                  <w14:solidFill>
                    <w14:schemeClr w14:val="bg1"/>
                  </w14:solidFill>
                </w14:textFill>
              </w:rPr>
            </w:pPr>
            <w:r>
              <w:rPr>
                <w:rFonts w:hint="default" w:ascii="Calibri" w:hAnsi="Calibri" w:cs="Calibri"/>
                <w:b/>
                <w:bCs/>
                <w:color w:val="FFFFFF" w:themeColor="background1"/>
                <w:sz w:val="16"/>
                <w:szCs w:val="16"/>
                <w:lang w:val="es-MX"/>
                <w14:textFill>
                  <w14:solidFill>
                    <w14:schemeClr w14:val="bg1"/>
                  </w14:solidFill>
                </w14:textFill>
              </w:rPr>
              <w:t>Dimensión</w:t>
            </w:r>
          </w:p>
        </w:tc>
        <w:tc>
          <w:tcPr>
            <w:tcW w:w="0" w:type="auto"/>
            <w:shd w:val="clear" w:color="auto" w:fill="000000" w:themeFill="text1"/>
            <w:vAlign w:val="center"/>
          </w:tcPr>
          <w:p w14:paraId="73D69E6D">
            <w:pPr>
              <w:spacing w:after="0" w:line="240" w:lineRule="auto"/>
              <w:jc w:val="center"/>
              <w:rPr>
                <w:rFonts w:hint="default" w:ascii="Calibri" w:hAnsi="Calibri" w:cs="Calibri"/>
                <w:b/>
                <w:bCs/>
                <w:color w:val="FFFFFF" w:themeColor="background1"/>
                <w:sz w:val="16"/>
                <w:szCs w:val="16"/>
                <w:lang w:val="es-MX"/>
                <w14:textFill>
                  <w14:solidFill>
                    <w14:schemeClr w14:val="bg1"/>
                  </w14:solidFill>
                </w14:textFill>
              </w:rPr>
            </w:pPr>
            <w:r>
              <w:rPr>
                <w:rFonts w:hint="default" w:ascii="Calibri" w:hAnsi="Calibri" w:cs="Calibri"/>
                <w:b/>
                <w:bCs/>
                <w:color w:val="FFFFFF" w:themeColor="background1"/>
                <w:sz w:val="16"/>
                <w:szCs w:val="16"/>
                <w:lang w:val="es-MX"/>
                <w14:textFill>
                  <w14:solidFill>
                    <w14:schemeClr w14:val="bg1"/>
                  </w14:solidFill>
                </w14:textFill>
              </w:rPr>
              <w:t>Manifestación</w:t>
            </w:r>
          </w:p>
        </w:tc>
        <w:tc>
          <w:tcPr>
            <w:tcW w:w="0" w:type="auto"/>
            <w:shd w:val="clear" w:color="auto" w:fill="000000" w:themeFill="text1"/>
            <w:vAlign w:val="center"/>
          </w:tcPr>
          <w:p w14:paraId="55D822DF">
            <w:pPr>
              <w:spacing w:after="0" w:line="240" w:lineRule="auto"/>
              <w:jc w:val="center"/>
              <w:rPr>
                <w:rFonts w:hint="default" w:ascii="Calibri" w:hAnsi="Calibri" w:cs="Calibri"/>
                <w:b/>
                <w:bCs/>
                <w:color w:val="FFFFFF" w:themeColor="background1"/>
                <w:sz w:val="16"/>
                <w:szCs w:val="16"/>
                <w:lang w:val="es-MX"/>
                <w14:textFill>
                  <w14:solidFill>
                    <w14:schemeClr w14:val="bg1"/>
                  </w14:solidFill>
                </w14:textFill>
              </w:rPr>
            </w:pPr>
            <w:r>
              <w:rPr>
                <w:rFonts w:hint="default" w:ascii="Calibri" w:hAnsi="Calibri" w:cs="Calibri"/>
                <w:b/>
                <w:bCs/>
                <w:color w:val="FFFFFF" w:themeColor="background1"/>
                <w:sz w:val="16"/>
                <w:szCs w:val="16"/>
                <w:lang w:val="es-MX"/>
                <w14:textFill>
                  <w14:solidFill>
                    <w14:schemeClr w14:val="bg1"/>
                  </w14:solidFill>
                </w14:textFill>
              </w:rPr>
              <w:t>Significado antropológico</w:t>
            </w:r>
          </w:p>
        </w:tc>
      </w:tr>
      <w:tr w14:paraId="4770AC0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0DB6ECC1">
            <w:pPr>
              <w:spacing w:after="0" w:line="240" w:lineRule="auto"/>
              <w:jc w:val="left"/>
              <w:rPr>
                <w:rFonts w:hint="default" w:ascii="Calibri" w:hAnsi="Calibri" w:cs="Calibri"/>
                <w:sz w:val="16"/>
                <w:szCs w:val="16"/>
                <w:lang w:val="es-MX"/>
              </w:rPr>
            </w:pPr>
            <w:r>
              <w:rPr>
                <w:rFonts w:hint="default" w:ascii="Calibri" w:hAnsi="Calibri" w:cs="Calibri"/>
                <w:sz w:val="16"/>
                <w:szCs w:val="16"/>
                <w:lang w:val="es-MX"/>
              </w:rPr>
              <w:t>Enfermedad</w:t>
            </w:r>
          </w:p>
        </w:tc>
        <w:tc>
          <w:tcPr>
            <w:tcW w:w="0" w:type="auto"/>
            <w:vAlign w:val="center"/>
          </w:tcPr>
          <w:p w14:paraId="68C1AF66">
            <w:pPr>
              <w:spacing w:after="0" w:line="240" w:lineRule="auto"/>
              <w:jc w:val="both"/>
              <w:rPr>
                <w:rFonts w:hint="default" w:ascii="Calibri" w:hAnsi="Calibri" w:cs="Calibri"/>
                <w:sz w:val="16"/>
                <w:szCs w:val="16"/>
                <w:lang w:val="es-MX"/>
              </w:rPr>
            </w:pPr>
            <w:r>
              <w:rPr>
                <w:rFonts w:hint="default" w:ascii="Calibri" w:hAnsi="Calibri" w:cs="Calibri"/>
                <w:sz w:val="16"/>
                <w:szCs w:val="16"/>
                <w:lang w:val="es-MX"/>
              </w:rPr>
              <w:t>Crisis de salud grave</w:t>
            </w:r>
          </w:p>
        </w:tc>
        <w:tc>
          <w:tcPr>
            <w:tcW w:w="0" w:type="auto"/>
            <w:vAlign w:val="center"/>
          </w:tcPr>
          <w:p w14:paraId="140C4E68">
            <w:pPr>
              <w:spacing w:after="0" w:line="240" w:lineRule="auto"/>
              <w:jc w:val="both"/>
              <w:rPr>
                <w:rFonts w:hint="default" w:ascii="Calibri" w:hAnsi="Calibri" w:cs="Calibri"/>
                <w:sz w:val="16"/>
                <w:szCs w:val="16"/>
                <w:lang w:val="es-MX"/>
              </w:rPr>
            </w:pPr>
            <w:r>
              <w:rPr>
                <w:rFonts w:hint="default" w:ascii="Calibri" w:hAnsi="Calibri" w:cs="Calibri"/>
                <w:sz w:val="16"/>
                <w:szCs w:val="16"/>
                <w:lang w:val="es-MX"/>
              </w:rPr>
              <w:t>Fragilidad de la vida</w:t>
            </w:r>
          </w:p>
        </w:tc>
      </w:tr>
      <w:tr w14:paraId="4319C41C">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53350ED6">
            <w:pPr>
              <w:spacing w:after="0" w:line="240" w:lineRule="auto"/>
              <w:jc w:val="left"/>
              <w:rPr>
                <w:rFonts w:hint="default" w:ascii="Calibri" w:hAnsi="Calibri" w:cs="Calibri"/>
                <w:sz w:val="16"/>
                <w:szCs w:val="16"/>
                <w:lang w:val="es-MX"/>
              </w:rPr>
            </w:pPr>
            <w:r>
              <w:rPr>
                <w:rFonts w:hint="default" w:ascii="Calibri" w:hAnsi="Calibri" w:cs="Calibri"/>
                <w:sz w:val="16"/>
                <w:szCs w:val="16"/>
                <w:lang w:val="es-MX"/>
              </w:rPr>
              <w:t>Tiempo</w:t>
            </w:r>
          </w:p>
        </w:tc>
        <w:tc>
          <w:tcPr>
            <w:tcW w:w="0" w:type="auto"/>
            <w:vAlign w:val="center"/>
          </w:tcPr>
          <w:p w14:paraId="10115834">
            <w:pPr>
              <w:spacing w:after="0" w:line="240" w:lineRule="auto"/>
              <w:jc w:val="both"/>
              <w:rPr>
                <w:rFonts w:hint="default" w:ascii="Calibri" w:hAnsi="Calibri" w:cs="Calibri"/>
                <w:sz w:val="16"/>
                <w:szCs w:val="16"/>
                <w:lang w:val="es-MX"/>
              </w:rPr>
            </w:pPr>
            <w:r>
              <w:rPr>
                <w:rFonts w:hint="default" w:ascii="Calibri" w:hAnsi="Calibri" w:cs="Calibri"/>
                <w:sz w:val="16"/>
                <w:szCs w:val="16"/>
                <w:lang w:val="es-MX"/>
              </w:rPr>
              <w:t>Espera e incertidumbre</w:t>
            </w:r>
          </w:p>
        </w:tc>
        <w:tc>
          <w:tcPr>
            <w:tcW w:w="0" w:type="auto"/>
            <w:vAlign w:val="center"/>
          </w:tcPr>
          <w:p w14:paraId="7D6FD34D">
            <w:pPr>
              <w:spacing w:after="0" w:line="240" w:lineRule="auto"/>
              <w:jc w:val="both"/>
              <w:rPr>
                <w:rFonts w:hint="default" w:ascii="Calibri" w:hAnsi="Calibri" w:cs="Calibri"/>
                <w:sz w:val="16"/>
                <w:szCs w:val="16"/>
                <w:lang w:val="es-MX"/>
              </w:rPr>
            </w:pPr>
            <w:r>
              <w:rPr>
                <w:rFonts w:hint="default" w:ascii="Calibri" w:hAnsi="Calibri" w:cs="Calibri"/>
                <w:sz w:val="16"/>
                <w:szCs w:val="16"/>
                <w:lang w:val="es-MX"/>
              </w:rPr>
              <w:t>Revalorización del presente</w:t>
            </w:r>
          </w:p>
        </w:tc>
      </w:tr>
      <w:tr w14:paraId="6F833A4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68E558BF">
            <w:pPr>
              <w:spacing w:after="0" w:line="240" w:lineRule="auto"/>
              <w:jc w:val="left"/>
              <w:rPr>
                <w:rFonts w:hint="default" w:ascii="Calibri" w:hAnsi="Calibri" w:cs="Calibri"/>
                <w:sz w:val="16"/>
                <w:szCs w:val="16"/>
                <w:lang w:val="es-MX"/>
              </w:rPr>
            </w:pPr>
            <w:r>
              <w:rPr>
                <w:rFonts w:hint="default" w:ascii="Calibri" w:hAnsi="Calibri" w:cs="Calibri"/>
                <w:sz w:val="16"/>
                <w:szCs w:val="16"/>
                <w:lang w:val="es-MX"/>
              </w:rPr>
              <w:t>Familia</w:t>
            </w:r>
          </w:p>
        </w:tc>
        <w:tc>
          <w:tcPr>
            <w:tcW w:w="0" w:type="auto"/>
            <w:vAlign w:val="center"/>
          </w:tcPr>
          <w:p w14:paraId="34BA262B">
            <w:pPr>
              <w:spacing w:after="0" w:line="240" w:lineRule="auto"/>
              <w:jc w:val="both"/>
              <w:rPr>
                <w:rFonts w:hint="default" w:ascii="Calibri" w:hAnsi="Calibri" w:cs="Calibri"/>
                <w:sz w:val="16"/>
                <w:szCs w:val="16"/>
                <w:lang w:val="es-MX"/>
              </w:rPr>
            </w:pPr>
            <w:r>
              <w:rPr>
                <w:rFonts w:hint="default" w:ascii="Calibri" w:hAnsi="Calibri" w:cs="Calibri"/>
                <w:sz w:val="16"/>
                <w:szCs w:val="16"/>
                <w:lang w:val="es-MX"/>
              </w:rPr>
              <w:t>Acompañamiento y cuidado</w:t>
            </w:r>
          </w:p>
        </w:tc>
        <w:tc>
          <w:tcPr>
            <w:tcW w:w="0" w:type="auto"/>
            <w:vAlign w:val="center"/>
          </w:tcPr>
          <w:p w14:paraId="742718DA">
            <w:pPr>
              <w:spacing w:after="0" w:line="240" w:lineRule="auto"/>
              <w:jc w:val="both"/>
              <w:rPr>
                <w:rFonts w:hint="default" w:ascii="Calibri" w:hAnsi="Calibri" w:cs="Calibri"/>
                <w:sz w:val="16"/>
                <w:szCs w:val="16"/>
                <w:lang w:val="es-MX"/>
              </w:rPr>
            </w:pPr>
            <w:r>
              <w:rPr>
                <w:rFonts w:hint="default" w:ascii="Calibri" w:hAnsi="Calibri" w:cs="Calibri"/>
                <w:sz w:val="16"/>
                <w:szCs w:val="16"/>
                <w:lang w:val="es-MX"/>
              </w:rPr>
              <w:t>Núcleo de resistencia afectiva</w:t>
            </w:r>
          </w:p>
        </w:tc>
      </w:tr>
      <w:tr w14:paraId="480A0E1C">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260FF364">
            <w:pPr>
              <w:spacing w:after="0" w:line="240" w:lineRule="auto"/>
              <w:jc w:val="left"/>
              <w:rPr>
                <w:rFonts w:hint="default" w:ascii="Calibri" w:hAnsi="Calibri" w:cs="Calibri"/>
                <w:sz w:val="16"/>
                <w:szCs w:val="16"/>
                <w:lang w:val="es-MX"/>
              </w:rPr>
            </w:pPr>
            <w:r>
              <w:rPr>
                <w:rFonts w:hint="default" w:ascii="Calibri" w:hAnsi="Calibri" w:cs="Calibri"/>
                <w:sz w:val="16"/>
                <w:szCs w:val="16"/>
                <w:lang w:val="es-MX"/>
              </w:rPr>
              <w:t>Emoción</w:t>
            </w:r>
          </w:p>
        </w:tc>
        <w:tc>
          <w:tcPr>
            <w:tcW w:w="0" w:type="auto"/>
            <w:vAlign w:val="center"/>
          </w:tcPr>
          <w:p w14:paraId="52E490CD">
            <w:pPr>
              <w:spacing w:after="0" w:line="240" w:lineRule="auto"/>
              <w:jc w:val="both"/>
              <w:rPr>
                <w:rFonts w:hint="default" w:ascii="Calibri" w:hAnsi="Calibri" w:cs="Calibri"/>
                <w:sz w:val="16"/>
                <w:szCs w:val="16"/>
                <w:lang w:val="es-MX"/>
              </w:rPr>
            </w:pPr>
            <w:r>
              <w:rPr>
                <w:rFonts w:hint="default" w:ascii="Calibri" w:hAnsi="Calibri" w:cs="Calibri"/>
                <w:sz w:val="16"/>
                <w:szCs w:val="16"/>
                <w:lang w:val="es-MX"/>
              </w:rPr>
              <w:t>Miedo, esperanza, amor</w:t>
            </w:r>
          </w:p>
        </w:tc>
        <w:tc>
          <w:tcPr>
            <w:tcW w:w="0" w:type="auto"/>
            <w:vAlign w:val="center"/>
          </w:tcPr>
          <w:p w14:paraId="0BA2405C">
            <w:pPr>
              <w:spacing w:after="0" w:line="240" w:lineRule="auto"/>
              <w:jc w:val="both"/>
              <w:rPr>
                <w:rFonts w:hint="default" w:ascii="Calibri" w:hAnsi="Calibri" w:cs="Calibri"/>
                <w:sz w:val="16"/>
                <w:szCs w:val="16"/>
                <w:lang w:val="es-MX"/>
              </w:rPr>
            </w:pPr>
            <w:r>
              <w:rPr>
                <w:rFonts w:hint="default" w:ascii="Calibri" w:hAnsi="Calibri" w:cs="Calibri"/>
                <w:sz w:val="16"/>
                <w:szCs w:val="16"/>
                <w:lang w:val="es-MX"/>
              </w:rPr>
              <w:t>Motor de lucha por la vida</w:t>
            </w:r>
          </w:p>
        </w:tc>
      </w:tr>
    </w:tbl>
    <w:p w14:paraId="5F47625D">
      <w:pPr>
        <w:spacing w:after="0" w:line="240" w:lineRule="auto"/>
        <w:jc w:val="both"/>
        <w:rPr>
          <w:rFonts w:ascii="Arial" w:hAnsi="Arial" w:cs="Arial"/>
          <w:sz w:val="24"/>
          <w:szCs w:val="24"/>
          <w:lang w:val="es-MX"/>
        </w:rPr>
      </w:pPr>
    </w:p>
    <w:p w14:paraId="6EFBB547">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line="240" w:lineRule="auto"/>
        <w:ind w:firstLine="720"/>
        <w:jc w:val="both"/>
        <w:textAlignment w:val="auto"/>
        <w:rPr>
          <w:rFonts w:hint="default" w:ascii="Calibri" w:hAnsi="Calibri" w:eastAsia="sans-serif" w:cs="Calibri"/>
          <w:sz w:val="22"/>
          <w:szCs w:val="22"/>
          <w:lang w:val="es-ES"/>
        </w:rPr>
      </w:pPr>
      <w:r>
        <w:rPr>
          <w:rFonts w:hint="default" w:ascii="Calibri" w:hAnsi="Calibri" w:eastAsia="sans-serif" w:cs="Calibri"/>
          <w:sz w:val="22"/>
          <w:szCs w:val="22"/>
        </w:rPr>
        <w:t>Durante este episodio crítico, el tiempo adquirió un valor simbólico central. Las horas de espera, la vigilancia constante y la convivencia forzada con la posibilidad de la pérdida transformaron la percepción cotidiana del tiempo, resignificándolo como un recurso finito y profundamente relacional.</w:t>
      </w:r>
      <w:r>
        <w:rPr>
          <w:rFonts w:hint="default" w:ascii="Calibri" w:hAnsi="Calibri" w:eastAsia="sans-serif" w:cs="Calibri"/>
          <w:sz w:val="22"/>
          <w:szCs w:val="22"/>
          <w:lang w:val="es-ES"/>
        </w:rPr>
        <w:t xml:space="preserve"> </w:t>
      </w:r>
    </w:p>
    <w:p w14:paraId="060704F6">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line="240" w:lineRule="auto"/>
        <w:ind w:firstLine="720"/>
        <w:jc w:val="both"/>
        <w:textAlignment w:val="auto"/>
        <w:rPr>
          <w:rFonts w:hint="default" w:ascii="Calibri" w:hAnsi="Calibri" w:eastAsia="sans-serif" w:cs="Calibri"/>
          <w:sz w:val="22"/>
          <w:szCs w:val="22"/>
        </w:rPr>
      </w:pPr>
      <w:r>
        <w:rPr>
          <w:rFonts w:hint="default" w:ascii="Calibri" w:hAnsi="Calibri" w:eastAsia="sans-serif" w:cs="Calibri"/>
          <w:sz w:val="22"/>
          <w:szCs w:val="22"/>
        </w:rPr>
        <w:t>En este sentido, la vivencia analizada pone en evidencia que la resistencia no siempre adopta la forma de confrontación externa</w:t>
      </w:r>
      <w:r>
        <w:rPr>
          <w:rFonts w:hint="default" w:ascii="Calibri" w:hAnsi="Calibri" w:eastAsia="sans-serif" w:cs="Calibri"/>
          <w:sz w:val="22"/>
          <w:szCs w:val="22"/>
          <w:lang w:val="es-ES"/>
        </w:rPr>
        <w:t xml:space="preserve">, </w:t>
      </w:r>
      <w:r>
        <w:rPr>
          <w:rFonts w:hint="default" w:ascii="Calibri" w:hAnsi="Calibri" w:eastAsia="sans-serif" w:cs="Calibri"/>
          <w:sz w:val="22"/>
          <w:szCs w:val="22"/>
        </w:rPr>
        <w:t>como la insurgencia política del siglo XVIII, sino que puede manifestarse como un</w:t>
      </w:r>
      <w:r>
        <w:rPr>
          <w:rFonts w:hint="default" w:ascii="Calibri" w:hAnsi="Calibri" w:eastAsia="sans-serif" w:cs="Calibri"/>
          <w:b w:val="0"/>
          <w:bCs w:val="0"/>
          <w:sz w:val="22"/>
          <w:szCs w:val="22"/>
        </w:rPr>
        <w:t>a lucha silenciosa por la vida, sostenid</w:t>
      </w:r>
      <w:r>
        <w:rPr>
          <w:rFonts w:hint="default" w:ascii="Calibri" w:hAnsi="Calibri" w:eastAsia="sans-serif" w:cs="Calibri"/>
          <w:sz w:val="22"/>
          <w:szCs w:val="22"/>
        </w:rPr>
        <w:t>a por la presencia, el cuidado y el amor familiar. Bajo esta consideración, este episodio permite comprender que la lucha por la existencia, al igual que la lucha política, se sostiene en la convicción de permanecer junto a los seres queridos y en la fortaleza que emerge del vínculo (Arias, 2024).</w:t>
      </w:r>
    </w:p>
    <w:p w14:paraId="4FF9DC1E">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line="240" w:lineRule="auto"/>
        <w:ind w:firstLine="720"/>
        <w:jc w:val="both"/>
        <w:textAlignment w:val="auto"/>
        <w:rPr>
          <w:rFonts w:hint="default" w:ascii="Calibri" w:hAnsi="Calibri" w:eastAsia="sans-serif" w:cs="Calibri"/>
          <w:sz w:val="22"/>
          <w:szCs w:val="22"/>
        </w:rPr>
      </w:pPr>
      <w:r>
        <w:rPr>
          <w:rFonts w:hint="default" w:ascii="Calibri" w:hAnsi="Calibri" w:eastAsia="sans-serif" w:cs="Calibri"/>
          <w:sz w:val="22"/>
          <w:szCs w:val="22"/>
        </w:rPr>
        <w:t>Tal como sugieren las investigaciones sobre la acción colectiva y el parentesco (Jalal-Kermele, 2011), la enfermedad operó aquí como un catalizador de reflexión existencial y de reafirmación del lazo familiar como un espacio de contención, sentido y resistencia frente a la adversidad. La resistencia, en ambos casos, se redefine como una práctica relacional donde el acto de cuidar</w:t>
      </w:r>
      <w:r>
        <w:rPr>
          <w:rFonts w:hint="default" w:ascii="Calibri" w:hAnsi="Calibri" w:eastAsia="sans-serif" w:cs="Calibri"/>
          <w:sz w:val="22"/>
          <w:szCs w:val="22"/>
          <w:lang w:val="es-ES"/>
        </w:rPr>
        <w:t xml:space="preserve">, </w:t>
      </w:r>
      <w:r>
        <w:rPr>
          <w:rFonts w:hint="default" w:ascii="Calibri" w:hAnsi="Calibri" w:eastAsia="sans-serif" w:cs="Calibri"/>
          <w:sz w:val="22"/>
          <w:szCs w:val="22"/>
        </w:rPr>
        <w:t>y de dejarse cuidar</w:t>
      </w:r>
      <w:r>
        <w:rPr>
          <w:rFonts w:hint="default" w:ascii="Calibri" w:hAnsi="Calibri" w:eastAsia="sans-serif" w:cs="Calibri"/>
          <w:sz w:val="22"/>
          <w:szCs w:val="22"/>
          <w:lang w:val="es-ES"/>
        </w:rPr>
        <w:t xml:space="preserve">, </w:t>
      </w:r>
      <w:r>
        <w:rPr>
          <w:rFonts w:hint="default" w:ascii="Calibri" w:hAnsi="Calibri" w:eastAsia="sans-serif" w:cs="Calibri"/>
          <w:sz w:val="22"/>
          <w:szCs w:val="22"/>
        </w:rPr>
        <w:t xml:space="preserve"> desafía la desarticulación que la crisis, ya sea colonial o clínica, intenta imponer sobre el individuo.</w:t>
      </w:r>
    </w:p>
    <w:p w14:paraId="49AA9A28">
      <w:pPr>
        <w:pStyle w:val="4"/>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ind w:firstLine="720"/>
        <w:jc w:val="both"/>
        <w:textAlignment w:val="auto"/>
        <w:rPr>
          <w:rFonts w:hint="default" w:ascii="Calibri" w:hAnsi="Calibri" w:cs="Calibri"/>
          <w:sz w:val="22"/>
          <w:szCs w:val="22"/>
        </w:rPr>
      </w:pPr>
      <w:r>
        <w:rPr>
          <w:rFonts w:hint="default" w:ascii="Calibri" w:hAnsi="Calibri" w:cs="Calibri"/>
          <w:b/>
          <w:bCs/>
          <w:sz w:val="22"/>
          <w:szCs w:val="22"/>
        </w:rPr>
        <w:t>Resonancias simbólicas: La persistencia de los vínculos frente a la adversidad</w:t>
      </w:r>
    </w:p>
    <w:p w14:paraId="603FC354">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ind w:firstLine="720"/>
        <w:jc w:val="both"/>
        <w:textAlignment w:val="auto"/>
        <w:rPr>
          <w:rFonts w:hint="default" w:ascii="Calibri" w:hAnsi="Calibri" w:cs="Calibri"/>
          <w:sz w:val="22"/>
          <w:szCs w:val="22"/>
        </w:rPr>
      </w:pPr>
      <w:r>
        <w:rPr>
          <w:rFonts w:hint="default" w:ascii="Calibri" w:hAnsi="Calibri" w:cs="Calibri"/>
          <w:sz w:val="22"/>
          <w:szCs w:val="22"/>
        </w:rPr>
        <w:t>El análisis conjunto de ambos escenarios</w:t>
      </w:r>
      <w:r>
        <w:rPr>
          <w:rFonts w:hint="default" w:ascii="Calibri" w:hAnsi="Calibri" w:cs="Calibri"/>
          <w:sz w:val="22"/>
          <w:szCs w:val="22"/>
          <w:lang w:val="es-ES"/>
        </w:rPr>
        <w:t xml:space="preserve">, </w:t>
      </w:r>
      <w:r>
        <w:rPr>
          <w:rFonts w:hint="default" w:ascii="Calibri" w:hAnsi="Calibri" w:cs="Calibri"/>
          <w:sz w:val="22"/>
          <w:szCs w:val="22"/>
        </w:rPr>
        <w:t>el levantamiento de Túpac Amaru II y la crisis de salud familiar</w:t>
      </w:r>
      <w:r>
        <w:rPr>
          <w:rFonts w:hint="default" w:ascii="Calibri" w:hAnsi="Calibri" w:cs="Calibri"/>
          <w:sz w:val="22"/>
          <w:szCs w:val="22"/>
          <w:lang w:val="es-ES"/>
        </w:rPr>
        <w:t xml:space="preserve">, </w:t>
      </w:r>
      <w:r>
        <w:rPr>
          <w:rFonts w:hint="default" w:ascii="Calibri" w:hAnsi="Calibri" w:cs="Calibri"/>
          <w:sz w:val="22"/>
          <w:szCs w:val="22"/>
        </w:rPr>
        <w:t>permite identificar resonancias simbólicas que trascienden la distancia temporal. En ambos casos, la familia emerge como un espacio privilegiado de resistencia, donde el afecto, la convicción y el compromiso mutuo sostienen la acción humana frente a contextos de amenaza extrema, ya sea la violencia sistémica del aparato colonial o la fragilidad impuesta por la posibilidad de la muerte.</w:t>
      </w:r>
    </w:p>
    <w:p w14:paraId="0D641123">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ind w:firstLine="720"/>
        <w:jc w:val="both"/>
        <w:textAlignment w:val="auto"/>
        <w:rPr>
          <w:rFonts w:hint="default" w:ascii="Calibri" w:hAnsi="Calibri" w:cs="Calibri"/>
          <w:sz w:val="22"/>
          <w:szCs w:val="22"/>
          <w:lang w:val="es-ES"/>
        </w:rPr>
      </w:pPr>
      <w:r>
        <w:rPr>
          <w:rFonts w:hint="default" w:ascii="Calibri" w:hAnsi="Calibri" w:cs="Calibri"/>
          <w:sz w:val="22"/>
          <w:szCs w:val="22"/>
        </w:rPr>
        <w:t>Como se sintetiza en la Tabla 4, esta comparación permite visualizar cómo la estructura de resistencia se desplaza de la esfera pública a la privada sin perder su esencia protectora</w:t>
      </w:r>
      <w:r>
        <w:rPr>
          <w:rFonts w:hint="default" w:ascii="Calibri" w:hAnsi="Calibri" w:cs="Calibri"/>
          <w:sz w:val="22"/>
          <w:szCs w:val="22"/>
          <w:lang w:val="es-ES"/>
        </w:rPr>
        <w:t>.</w:t>
      </w:r>
    </w:p>
    <w:p w14:paraId="736A8F9E">
      <w:pPr>
        <w:spacing w:after="0" w:line="240" w:lineRule="auto"/>
        <w:jc w:val="both"/>
        <w:rPr>
          <w:rFonts w:ascii="Arial" w:hAnsi="Arial" w:cs="Arial"/>
          <w:sz w:val="24"/>
          <w:szCs w:val="24"/>
          <w:lang w:val="es-MX"/>
        </w:rPr>
      </w:pPr>
    </w:p>
    <w:p w14:paraId="39E9AE9C">
      <w:pPr>
        <w:spacing w:after="0" w:line="240" w:lineRule="auto"/>
        <w:jc w:val="both"/>
        <w:rPr>
          <w:rFonts w:hint="default" w:ascii="Calibri" w:hAnsi="Calibri" w:cs="Calibri"/>
          <w:i/>
          <w:iCs/>
          <w:sz w:val="22"/>
          <w:szCs w:val="22"/>
          <w:lang w:val="es-MX"/>
        </w:rPr>
      </w:pPr>
      <w:r>
        <w:rPr>
          <w:rFonts w:hint="default" w:ascii="Calibri" w:hAnsi="Calibri" w:cs="Calibri"/>
          <w:b/>
          <w:bCs/>
          <w:i/>
          <w:iCs/>
          <w:sz w:val="22"/>
          <w:szCs w:val="22"/>
          <w:lang w:val="es-MX"/>
        </w:rPr>
        <w:t xml:space="preserve">Tabla 4. </w:t>
      </w:r>
      <w:r>
        <w:rPr>
          <w:rFonts w:hint="default" w:ascii="Calibri" w:hAnsi="Calibri" w:cs="Calibri"/>
          <w:i/>
          <w:iCs/>
          <w:sz w:val="22"/>
          <w:szCs w:val="22"/>
          <w:lang w:val="es-MX"/>
        </w:rPr>
        <w:t>Comparación entre resistencia histórica y contemporánea</w:t>
      </w:r>
    </w:p>
    <w:p w14:paraId="2C33A7DC">
      <w:pPr>
        <w:spacing w:after="0" w:line="240" w:lineRule="auto"/>
        <w:jc w:val="center"/>
        <w:rPr>
          <w:rFonts w:ascii="Arial" w:hAnsi="Arial" w:cs="Arial"/>
          <w:sz w:val="24"/>
          <w:szCs w:val="24"/>
          <w:lang w:val="es-MX"/>
        </w:rPr>
      </w:pPr>
    </w:p>
    <w:tbl>
      <w:tblPr>
        <w:tblStyle w:val="24"/>
        <w:tblW w:w="0" w:type="auto"/>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04"/>
        <w:gridCol w:w="2248"/>
        <w:gridCol w:w="2168"/>
      </w:tblGrid>
      <w:tr w14:paraId="1F74463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shd w:val="clear" w:color="auto" w:fill="000000" w:themeFill="text1"/>
            <w:vAlign w:val="center"/>
          </w:tcPr>
          <w:p w14:paraId="54DC7C59">
            <w:pPr>
              <w:spacing w:after="0" w:line="240" w:lineRule="auto"/>
              <w:jc w:val="center"/>
              <w:rPr>
                <w:rFonts w:hint="default" w:ascii="Calibri" w:hAnsi="Calibri" w:cs="Calibri"/>
                <w:b/>
                <w:bCs/>
                <w:color w:val="FFFFFF" w:themeColor="background1"/>
                <w:sz w:val="16"/>
                <w:szCs w:val="16"/>
                <w:lang w:val="es-MX"/>
                <w14:textFill>
                  <w14:solidFill>
                    <w14:schemeClr w14:val="bg1"/>
                  </w14:solidFill>
                </w14:textFill>
              </w:rPr>
            </w:pPr>
            <w:r>
              <w:rPr>
                <w:rFonts w:hint="default" w:ascii="Calibri" w:hAnsi="Calibri" w:cs="Calibri"/>
                <w:b/>
                <w:bCs/>
                <w:color w:val="FFFFFF" w:themeColor="background1"/>
                <w:sz w:val="16"/>
                <w:szCs w:val="16"/>
                <w:lang w:val="es-MX"/>
                <w14:textFill>
                  <w14:solidFill>
                    <w14:schemeClr w14:val="bg1"/>
                  </w14:solidFill>
                </w14:textFill>
              </w:rPr>
              <w:t>Aspecto</w:t>
            </w:r>
          </w:p>
        </w:tc>
        <w:tc>
          <w:tcPr>
            <w:tcW w:w="0" w:type="auto"/>
            <w:shd w:val="clear" w:color="auto" w:fill="000000" w:themeFill="text1"/>
            <w:vAlign w:val="center"/>
          </w:tcPr>
          <w:p w14:paraId="299B4ED4">
            <w:pPr>
              <w:spacing w:after="0" w:line="240" w:lineRule="auto"/>
              <w:jc w:val="center"/>
              <w:rPr>
                <w:rFonts w:hint="default" w:ascii="Calibri" w:hAnsi="Calibri" w:cs="Calibri"/>
                <w:b/>
                <w:bCs/>
                <w:color w:val="FFFFFF" w:themeColor="background1"/>
                <w:sz w:val="16"/>
                <w:szCs w:val="16"/>
                <w:lang w:val="es-MX"/>
                <w14:textFill>
                  <w14:solidFill>
                    <w14:schemeClr w14:val="bg1"/>
                  </w14:solidFill>
                </w14:textFill>
              </w:rPr>
            </w:pPr>
            <w:r>
              <w:rPr>
                <w:rFonts w:hint="default" w:ascii="Calibri" w:hAnsi="Calibri" w:cs="Calibri"/>
                <w:b/>
                <w:bCs/>
                <w:color w:val="FFFFFF" w:themeColor="background1"/>
                <w:sz w:val="16"/>
                <w:szCs w:val="16"/>
                <w:lang w:val="es-MX"/>
                <w14:textFill>
                  <w14:solidFill>
                    <w14:schemeClr w14:val="bg1"/>
                  </w14:solidFill>
                </w14:textFill>
              </w:rPr>
              <w:t>Siglo XVIII (Túpac Amaru II)</w:t>
            </w:r>
          </w:p>
        </w:tc>
        <w:tc>
          <w:tcPr>
            <w:tcW w:w="0" w:type="auto"/>
            <w:shd w:val="clear" w:color="auto" w:fill="000000" w:themeFill="text1"/>
            <w:vAlign w:val="center"/>
          </w:tcPr>
          <w:p w14:paraId="462BF574">
            <w:pPr>
              <w:spacing w:after="0" w:line="240" w:lineRule="auto"/>
              <w:jc w:val="center"/>
              <w:rPr>
                <w:rFonts w:hint="default" w:ascii="Calibri" w:hAnsi="Calibri" w:cs="Calibri"/>
                <w:b/>
                <w:bCs/>
                <w:color w:val="FFFFFF" w:themeColor="background1"/>
                <w:sz w:val="16"/>
                <w:szCs w:val="16"/>
                <w:lang w:val="es-MX"/>
                <w14:textFill>
                  <w14:solidFill>
                    <w14:schemeClr w14:val="bg1"/>
                  </w14:solidFill>
                </w14:textFill>
              </w:rPr>
            </w:pPr>
            <w:r>
              <w:rPr>
                <w:rFonts w:hint="default" w:ascii="Calibri" w:hAnsi="Calibri" w:cs="Calibri"/>
                <w:b/>
                <w:bCs/>
                <w:color w:val="FFFFFF" w:themeColor="background1"/>
                <w:sz w:val="16"/>
                <w:szCs w:val="16"/>
                <w:lang w:val="es-MX"/>
                <w14:textFill>
                  <w14:solidFill>
                    <w14:schemeClr w14:val="bg1"/>
                  </w14:solidFill>
                </w14:textFill>
              </w:rPr>
              <w:t>Experiencia contemporánea</w:t>
            </w:r>
          </w:p>
        </w:tc>
      </w:tr>
      <w:tr w14:paraId="66EA8F0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4AB5CAF3">
            <w:pPr>
              <w:spacing w:after="0" w:line="240" w:lineRule="auto"/>
              <w:jc w:val="left"/>
              <w:rPr>
                <w:rFonts w:hint="default" w:ascii="Calibri" w:hAnsi="Calibri" w:cs="Calibri"/>
                <w:sz w:val="16"/>
                <w:szCs w:val="16"/>
                <w:lang w:val="es-MX"/>
              </w:rPr>
            </w:pPr>
            <w:r>
              <w:rPr>
                <w:rFonts w:hint="default" w:ascii="Calibri" w:hAnsi="Calibri" w:cs="Calibri"/>
                <w:sz w:val="16"/>
                <w:szCs w:val="16"/>
                <w:lang w:val="es-MX"/>
              </w:rPr>
              <w:t>Amenaza</w:t>
            </w:r>
          </w:p>
        </w:tc>
        <w:tc>
          <w:tcPr>
            <w:tcW w:w="0" w:type="auto"/>
            <w:vAlign w:val="center"/>
          </w:tcPr>
          <w:p w14:paraId="3B379D80">
            <w:pPr>
              <w:spacing w:after="0" w:line="240" w:lineRule="auto"/>
              <w:jc w:val="center"/>
              <w:rPr>
                <w:rFonts w:hint="default" w:ascii="Calibri" w:hAnsi="Calibri" w:cs="Calibri"/>
                <w:sz w:val="16"/>
                <w:szCs w:val="16"/>
                <w:lang w:val="es-MX"/>
              </w:rPr>
            </w:pPr>
            <w:r>
              <w:rPr>
                <w:rFonts w:hint="default" w:ascii="Calibri" w:hAnsi="Calibri" w:cs="Calibri"/>
                <w:sz w:val="16"/>
                <w:szCs w:val="16"/>
                <w:lang w:val="es-MX"/>
              </w:rPr>
              <w:t>Dominación colonial</w:t>
            </w:r>
          </w:p>
        </w:tc>
        <w:tc>
          <w:tcPr>
            <w:tcW w:w="0" w:type="auto"/>
            <w:vAlign w:val="center"/>
          </w:tcPr>
          <w:p w14:paraId="5FA20D71">
            <w:pPr>
              <w:spacing w:after="0" w:line="240" w:lineRule="auto"/>
              <w:jc w:val="center"/>
              <w:rPr>
                <w:rFonts w:hint="default" w:ascii="Calibri" w:hAnsi="Calibri" w:cs="Calibri"/>
                <w:sz w:val="16"/>
                <w:szCs w:val="16"/>
                <w:lang w:val="es-MX"/>
              </w:rPr>
            </w:pPr>
            <w:r>
              <w:rPr>
                <w:rFonts w:hint="default" w:ascii="Calibri" w:hAnsi="Calibri" w:cs="Calibri"/>
                <w:sz w:val="16"/>
                <w:szCs w:val="16"/>
                <w:lang w:val="es-MX"/>
              </w:rPr>
              <w:t>Enfermedad grave</w:t>
            </w:r>
          </w:p>
        </w:tc>
      </w:tr>
      <w:tr w14:paraId="167E4F6A">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4F7CE2DE">
            <w:pPr>
              <w:spacing w:after="0" w:line="240" w:lineRule="auto"/>
              <w:jc w:val="left"/>
              <w:rPr>
                <w:rFonts w:hint="default" w:ascii="Calibri" w:hAnsi="Calibri" w:cs="Calibri"/>
                <w:sz w:val="16"/>
                <w:szCs w:val="16"/>
                <w:lang w:val="es-MX"/>
              </w:rPr>
            </w:pPr>
            <w:r>
              <w:rPr>
                <w:rFonts w:hint="default" w:ascii="Calibri" w:hAnsi="Calibri" w:cs="Calibri"/>
                <w:sz w:val="16"/>
                <w:szCs w:val="16"/>
                <w:lang w:val="es-MX"/>
              </w:rPr>
              <w:t>Tipo de lucha</w:t>
            </w:r>
          </w:p>
        </w:tc>
        <w:tc>
          <w:tcPr>
            <w:tcW w:w="0" w:type="auto"/>
            <w:vAlign w:val="center"/>
          </w:tcPr>
          <w:p w14:paraId="05183FC2">
            <w:pPr>
              <w:spacing w:after="0" w:line="240" w:lineRule="auto"/>
              <w:jc w:val="center"/>
              <w:rPr>
                <w:rFonts w:hint="default" w:ascii="Calibri" w:hAnsi="Calibri" w:cs="Calibri"/>
                <w:sz w:val="16"/>
                <w:szCs w:val="16"/>
                <w:lang w:val="es-MX"/>
              </w:rPr>
            </w:pPr>
            <w:r>
              <w:rPr>
                <w:rFonts w:hint="default" w:ascii="Calibri" w:hAnsi="Calibri" w:cs="Calibri"/>
                <w:sz w:val="16"/>
                <w:szCs w:val="16"/>
                <w:lang w:val="es-MX"/>
              </w:rPr>
              <w:t>Política y colectiva</w:t>
            </w:r>
          </w:p>
        </w:tc>
        <w:tc>
          <w:tcPr>
            <w:tcW w:w="0" w:type="auto"/>
            <w:vAlign w:val="center"/>
          </w:tcPr>
          <w:p w14:paraId="0E52B88A">
            <w:pPr>
              <w:spacing w:after="0" w:line="240" w:lineRule="auto"/>
              <w:jc w:val="center"/>
              <w:rPr>
                <w:rFonts w:hint="default" w:ascii="Calibri" w:hAnsi="Calibri" w:cs="Calibri"/>
                <w:sz w:val="16"/>
                <w:szCs w:val="16"/>
                <w:lang w:val="es-MX"/>
              </w:rPr>
            </w:pPr>
            <w:r>
              <w:rPr>
                <w:rFonts w:hint="default" w:ascii="Calibri" w:hAnsi="Calibri" w:cs="Calibri"/>
                <w:sz w:val="16"/>
                <w:szCs w:val="16"/>
                <w:lang w:val="es-MX"/>
              </w:rPr>
              <w:t>Vital y familiar</w:t>
            </w:r>
          </w:p>
        </w:tc>
      </w:tr>
      <w:tr w14:paraId="70E3EB6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06B961B7">
            <w:pPr>
              <w:spacing w:after="0" w:line="240" w:lineRule="auto"/>
              <w:jc w:val="left"/>
              <w:rPr>
                <w:rFonts w:hint="default" w:ascii="Calibri" w:hAnsi="Calibri" w:cs="Calibri"/>
                <w:sz w:val="16"/>
                <w:szCs w:val="16"/>
                <w:lang w:val="es-MX"/>
              </w:rPr>
            </w:pPr>
            <w:r>
              <w:rPr>
                <w:rFonts w:hint="default" w:ascii="Calibri" w:hAnsi="Calibri" w:cs="Calibri"/>
                <w:sz w:val="16"/>
                <w:szCs w:val="16"/>
                <w:lang w:val="es-MX"/>
              </w:rPr>
              <w:t>Núcleo de resistencia</w:t>
            </w:r>
          </w:p>
        </w:tc>
        <w:tc>
          <w:tcPr>
            <w:tcW w:w="0" w:type="auto"/>
            <w:vAlign w:val="center"/>
          </w:tcPr>
          <w:p w14:paraId="10E6528B">
            <w:pPr>
              <w:spacing w:after="0" w:line="240" w:lineRule="auto"/>
              <w:jc w:val="center"/>
              <w:rPr>
                <w:rFonts w:hint="default" w:ascii="Calibri" w:hAnsi="Calibri" w:cs="Calibri"/>
                <w:sz w:val="16"/>
                <w:szCs w:val="16"/>
                <w:lang w:val="es-MX"/>
              </w:rPr>
            </w:pPr>
            <w:r>
              <w:rPr>
                <w:rFonts w:hint="default" w:ascii="Calibri" w:hAnsi="Calibri" w:cs="Calibri"/>
                <w:sz w:val="16"/>
                <w:szCs w:val="16"/>
                <w:lang w:val="es-MX"/>
              </w:rPr>
              <w:t>Familia Condorcanqui–Bastidas</w:t>
            </w:r>
          </w:p>
        </w:tc>
        <w:tc>
          <w:tcPr>
            <w:tcW w:w="0" w:type="auto"/>
            <w:vAlign w:val="center"/>
          </w:tcPr>
          <w:p w14:paraId="6EF966A6">
            <w:pPr>
              <w:spacing w:after="0" w:line="240" w:lineRule="auto"/>
              <w:jc w:val="center"/>
              <w:rPr>
                <w:rFonts w:hint="default" w:ascii="Calibri" w:hAnsi="Calibri" w:cs="Calibri"/>
                <w:sz w:val="16"/>
                <w:szCs w:val="16"/>
                <w:lang w:val="es-MX"/>
              </w:rPr>
            </w:pPr>
            <w:r>
              <w:rPr>
                <w:rFonts w:hint="default" w:ascii="Calibri" w:hAnsi="Calibri" w:cs="Calibri"/>
                <w:sz w:val="16"/>
                <w:szCs w:val="16"/>
                <w:lang w:val="es-MX"/>
              </w:rPr>
              <w:t>Familia nuclear</w:t>
            </w:r>
          </w:p>
        </w:tc>
      </w:tr>
      <w:tr w14:paraId="25BFC0D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72CBE859">
            <w:pPr>
              <w:spacing w:after="0" w:line="240" w:lineRule="auto"/>
              <w:jc w:val="left"/>
              <w:rPr>
                <w:rFonts w:hint="default" w:ascii="Calibri" w:hAnsi="Calibri" w:cs="Calibri"/>
                <w:sz w:val="16"/>
                <w:szCs w:val="16"/>
                <w:lang w:val="es-MX"/>
              </w:rPr>
            </w:pPr>
            <w:r>
              <w:rPr>
                <w:rFonts w:hint="default" w:ascii="Calibri" w:hAnsi="Calibri" w:cs="Calibri"/>
                <w:sz w:val="16"/>
                <w:szCs w:val="16"/>
                <w:lang w:val="es-MX"/>
              </w:rPr>
              <w:t>Motor principal</w:t>
            </w:r>
          </w:p>
        </w:tc>
        <w:tc>
          <w:tcPr>
            <w:tcW w:w="0" w:type="auto"/>
            <w:vAlign w:val="center"/>
          </w:tcPr>
          <w:p w14:paraId="139D953F">
            <w:pPr>
              <w:spacing w:after="0" w:line="240" w:lineRule="auto"/>
              <w:jc w:val="center"/>
              <w:rPr>
                <w:rFonts w:hint="default" w:ascii="Calibri" w:hAnsi="Calibri" w:cs="Calibri"/>
                <w:sz w:val="16"/>
                <w:szCs w:val="16"/>
                <w:lang w:val="es-MX"/>
              </w:rPr>
            </w:pPr>
            <w:r>
              <w:rPr>
                <w:rFonts w:hint="default" w:ascii="Calibri" w:hAnsi="Calibri" w:cs="Calibri"/>
                <w:sz w:val="16"/>
                <w:szCs w:val="16"/>
                <w:lang w:val="es-MX"/>
              </w:rPr>
              <w:t>Amor, convicción y justicia</w:t>
            </w:r>
          </w:p>
        </w:tc>
        <w:tc>
          <w:tcPr>
            <w:tcW w:w="0" w:type="auto"/>
            <w:vAlign w:val="center"/>
          </w:tcPr>
          <w:p w14:paraId="1F734F8E">
            <w:pPr>
              <w:spacing w:after="0" w:line="240" w:lineRule="auto"/>
              <w:jc w:val="center"/>
              <w:rPr>
                <w:rFonts w:hint="default" w:ascii="Calibri" w:hAnsi="Calibri" w:cs="Calibri"/>
                <w:sz w:val="16"/>
                <w:szCs w:val="16"/>
                <w:lang w:val="es-MX"/>
              </w:rPr>
            </w:pPr>
            <w:r>
              <w:rPr>
                <w:rFonts w:hint="default" w:ascii="Calibri" w:hAnsi="Calibri" w:cs="Calibri"/>
                <w:sz w:val="16"/>
                <w:szCs w:val="16"/>
                <w:lang w:val="es-MX"/>
              </w:rPr>
              <w:t>Amor, cuidado y permanencia</w:t>
            </w:r>
          </w:p>
        </w:tc>
      </w:tr>
      <w:tr w14:paraId="5A8D036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4856ED06">
            <w:pPr>
              <w:spacing w:after="0" w:line="240" w:lineRule="auto"/>
              <w:jc w:val="left"/>
              <w:rPr>
                <w:rFonts w:hint="default" w:ascii="Calibri" w:hAnsi="Calibri" w:cs="Calibri"/>
                <w:sz w:val="16"/>
                <w:szCs w:val="16"/>
                <w:lang w:val="es-MX"/>
              </w:rPr>
            </w:pPr>
            <w:r>
              <w:rPr>
                <w:rFonts w:hint="default" w:ascii="Calibri" w:hAnsi="Calibri" w:cs="Calibri"/>
                <w:sz w:val="16"/>
                <w:szCs w:val="16"/>
                <w:lang w:val="es-MX"/>
              </w:rPr>
              <w:t>Resultado simbólico</w:t>
            </w:r>
          </w:p>
        </w:tc>
        <w:tc>
          <w:tcPr>
            <w:tcW w:w="0" w:type="auto"/>
            <w:vAlign w:val="center"/>
          </w:tcPr>
          <w:p w14:paraId="49CFD9FE">
            <w:pPr>
              <w:spacing w:after="0" w:line="240" w:lineRule="auto"/>
              <w:jc w:val="center"/>
              <w:rPr>
                <w:rFonts w:hint="default" w:ascii="Calibri" w:hAnsi="Calibri" w:cs="Calibri"/>
                <w:sz w:val="16"/>
                <w:szCs w:val="16"/>
                <w:lang w:val="es-MX"/>
              </w:rPr>
            </w:pPr>
            <w:r>
              <w:rPr>
                <w:rFonts w:hint="default" w:ascii="Calibri" w:hAnsi="Calibri" w:cs="Calibri"/>
                <w:sz w:val="16"/>
                <w:szCs w:val="16"/>
                <w:lang w:val="es-MX"/>
              </w:rPr>
              <w:t>Memoria histórica</w:t>
            </w:r>
          </w:p>
        </w:tc>
        <w:tc>
          <w:tcPr>
            <w:tcW w:w="0" w:type="auto"/>
            <w:vAlign w:val="center"/>
          </w:tcPr>
          <w:p w14:paraId="45EAC4CF">
            <w:pPr>
              <w:spacing w:after="0" w:line="240" w:lineRule="auto"/>
              <w:jc w:val="center"/>
              <w:rPr>
                <w:rFonts w:hint="default" w:ascii="Calibri" w:hAnsi="Calibri" w:cs="Calibri"/>
                <w:sz w:val="16"/>
                <w:szCs w:val="16"/>
                <w:lang w:val="es-MX"/>
              </w:rPr>
            </w:pPr>
            <w:r>
              <w:rPr>
                <w:rFonts w:hint="default" w:ascii="Calibri" w:hAnsi="Calibri" w:cs="Calibri"/>
                <w:sz w:val="16"/>
                <w:szCs w:val="16"/>
                <w:lang w:val="es-MX"/>
              </w:rPr>
              <w:t>Fortalecimiento del vínculo</w:t>
            </w:r>
          </w:p>
        </w:tc>
      </w:tr>
    </w:tbl>
    <w:p w14:paraId="45003935">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Autospacing="0"/>
        <w:ind w:firstLine="720"/>
        <w:jc w:val="both"/>
        <w:textAlignment w:val="auto"/>
        <w:rPr>
          <w:rFonts w:hint="default" w:ascii="Calibri" w:hAnsi="Calibri" w:cs="Calibri"/>
          <w:b w:val="0"/>
          <w:bCs w:val="0"/>
          <w:sz w:val="22"/>
          <w:szCs w:val="22"/>
        </w:rPr>
      </w:pPr>
      <w:r>
        <w:rPr>
          <w:rFonts w:hint="default" w:ascii="Calibri" w:hAnsi="Calibri" w:cs="Calibri"/>
          <w:b w:val="0"/>
          <w:bCs w:val="0"/>
          <w:sz w:val="22"/>
          <w:szCs w:val="22"/>
        </w:rPr>
        <w:t>Estas resonancias no implican una equivalencia directa entre procesos históricos disímiles, pues, como señalan Bazurco (2020) y Quichua (2021), es imperativo respetar la especificidad de las luchas indígenas del siglo XVIII. Sin embargo, se observa una continuidad en la experiencia humana de enfrentar la adversidad desde los vínculos más íntimos. La resistencia, en este sentido, se manifiesta como una práctica profundamente relacional, enraizada en la afectividad y en la necesidad apremiante de preservar la vida y la dignidad compartida.</w:t>
      </w:r>
    </w:p>
    <w:p w14:paraId="58FB6D0D">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Autospacing="0"/>
        <w:ind w:firstLine="720"/>
        <w:jc w:val="both"/>
        <w:textAlignment w:val="auto"/>
        <w:rPr>
          <w:rFonts w:hint="default" w:ascii="Calibri" w:hAnsi="Calibri" w:cs="Calibri"/>
          <w:b w:val="0"/>
          <w:bCs w:val="0"/>
          <w:sz w:val="22"/>
          <w:szCs w:val="22"/>
        </w:rPr>
      </w:pPr>
      <w:r>
        <w:rPr>
          <w:rFonts w:hint="default" w:ascii="Calibri" w:hAnsi="Calibri" w:cs="Calibri"/>
          <w:b w:val="0"/>
          <w:bCs w:val="0"/>
          <w:sz w:val="22"/>
          <w:szCs w:val="22"/>
        </w:rPr>
        <w:t>Teóricamente, este hallazgo se alinea con las reflexiones de Guerrero Oñate (2023) y Ormeño (2011) sobre cómo las estructuras de parentesco en el mundo andino han servido históricamente como refugio ante la desarticulación impuesta por poderes externos. La familia, por tanto, no es solo un constructo social, sino una tecnología de supervivencia emocional que, al actualizarse frente a la enfermedad o la represión, garantiza la continuidad del ser. En última instancia, el análisis demuestra que, ya sea en el campo de batalla o en la habitación de un hospital, la resistencia es, ante todo, un acto de amor político: la decisión inquebrantable de no permitir que la adversidad borre lo que, esencialmente, nos constituye como sujetos sociales y afectivos.</w:t>
      </w:r>
    </w:p>
    <w:p w14:paraId="38649095">
      <w:pPr>
        <w:pStyle w:val="3"/>
        <w:rPr>
          <w:rFonts w:cstheme="minorHAnsi"/>
          <w:b w:val="0"/>
          <w:bCs w:val="0"/>
          <w:szCs w:val="24"/>
        </w:rPr>
      </w:pPr>
      <w:r>
        <w:rPr>
          <w:rFonts w:cstheme="minorHAnsi"/>
          <w:szCs w:val="24"/>
        </w:rPr>
        <w:t>Discusión</w:t>
      </w:r>
    </w:p>
    <w:p w14:paraId="3EBD2A30">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ind w:firstLine="720"/>
        <w:jc w:val="both"/>
        <w:textAlignment w:val="auto"/>
        <w:rPr>
          <w:rFonts w:hint="default" w:ascii="Calibri" w:hAnsi="Calibri" w:cs="Calibri"/>
          <w:sz w:val="22"/>
          <w:szCs w:val="22"/>
        </w:rPr>
      </w:pPr>
      <w:r>
        <w:rPr>
          <w:rFonts w:hint="default" w:ascii="Calibri" w:hAnsi="Calibri" w:cs="Calibri"/>
          <w:sz w:val="22"/>
          <w:szCs w:val="22"/>
          <w:lang w:val="es-ES"/>
        </w:rPr>
        <w:t xml:space="preserve">La </w:t>
      </w:r>
      <w:r>
        <w:rPr>
          <w:rFonts w:hint="default" w:ascii="Calibri" w:hAnsi="Calibri" w:cs="Calibri"/>
          <w:sz w:val="22"/>
          <w:szCs w:val="22"/>
        </w:rPr>
        <w:t xml:space="preserve">reconfigurar la historiografía clásica sobre la rebelión de Túpac Amaru II. Al desplazar el foco desde </w:t>
      </w:r>
      <w:r>
        <w:rPr>
          <w:rFonts w:hint="default" w:ascii="Calibri" w:hAnsi="Calibri" w:cs="Calibri"/>
          <w:sz w:val="22"/>
          <w:szCs w:val="22"/>
          <w:lang w:val="es-ES"/>
        </w:rPr>
        <w:t xml:space="preserve">de </w:t>
      </w:r>
      <w:r>
        <w:rPr>
          <w:rFonts w:hint="default" w:ascii="Calibri" w:hAnsi="Calibri" w:cs="Calibri"/>
          <w:sz w:val="22"/>
          <w:szCs w:val="22"/>
        </w:rPr>
        <w:t xml:space="preserve">puramente estructural </w:t>
      </w:r>
      <w:r>
        <w:rPr>
          <w:rFonts w:hint="default" w:ascii="Calibri" w:hAnsi="Calibri" w:cs="Calibri"/>
          <w:sz w:val="22"/>
          <w:szCs w:val="22"/>
          <w:lang w:val="es-ES"/>
        </w:rPr>
        <w:t xml:space="preserve">y </w:t>
      </w:r>
      <w:r>
        <w:rPr>
          <w:rFonts w:hint="default" w:ascii="Calibri" w:hAnsi="Calibri" w:cs="Calibri"/>
          <w:sz w:val="22"/>
          <w:szCs w:val="22"/>
        </w:rPr>
        <w:t>centrada en las dimensiones económicas, políticas y militares</w:t>
      </w:r>
      <w:r>
        <w:rPr>
          <w:rFonts w:hint="default" w:ascii="Calibri" w:hAnsi="Calibri" w:cs="Calibri"/>
          <w:sz w:val="22"/>
          <w:szCs w:val="22"/>
          <w:lang w:val="es-ES"/>
        </w:rPr>
        <w:t xml:space="preserve">, </w:t>
      </w:r>
      <w:r>
        <w:rPr>
          <w:rFonts w:hint="default" w:ascii="Calibri" w:hAnsi="Calibri" w:cs="Calibri"/>
          <w:sz w:val="22"/>
          <w:szCs w:val="22"/>
        </w:rPr>
        <w:t xml:space="preserve"> hacia una interpretación antropológica, se reconoce a la familia no como un contexto pasivo, sino como un dispositivo central de resistencia simbólica, afectiva y moral. Esta perspectiva no busca invalidar los enfoques tradicionales, sino complementarlos al evidenciar que la acción insurgente se sostuvo en una trama profunda de vínculos íntimos que otorgaron sentido, continuidad y fortaleza al proyecto colectivo (O’Phelan, 1979; Walker, 2015). En este sentido, la familia Condorcanqui–Bastidas emerge como una estructura relacional que articuló el liderazgo, la afectividad y el compromiso político, confirmando lo planteado por Fargas Peñarrocha (2021) respecto a la familia como un espacio de producción simbólica esencial incluso en contextos de alto riesgo.</w:t>
      </w:r>
    </w:p>
    <w:p w14:paraId="48057AE0">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ind w:firstLine="720"/>
        <w:jc w:val="both"/>
        <w:textAlignment w:val="auto"/>
        <w:rPr>
          <w:rFonts w:hint="default" w:ascii="Calibri" w:hAnsi="Calibri" w:cs="Calibri"/>
          <w:sz w:val="22"/>
          <w:szCs w:val="22"/>
        </w:rPr>
      </w:pPr>
      <w:r>
        <w:rPr>
          <w:rFonts w:hint="default" w:ascii="Calibri" w:hAnsi="Calibri" w:cs="Calibri"/>
          <w:sz w:val="22"/>
          <w:szCs w:val="22"/>
        </w:rPr>
        <w:t>La participación activa de Micaela Bastidas refuerza esta lectura. Su rol no puede ser comprendido meramente en términos funcionales o de apoyo estratégico; por el contrario, debe ser analizado como una forma de resistencia encarnada. Como señalan Kanashiro (2021) y Pita Pico (2019), la integración de la dimensión emocional —la protección de la prole, la lealtad conyugal y la responsabilidad intergeneracional— con la estrategia militar y política fue una característica distintiva de su agencia. Esta integración desafía las lecturas que han relegado a las mujeres a roles secundarios, posicionando su liderazgo como un eje gravitacional sin el cual la cohesión del movimiento habría sido insostenible.</w:t>
      </w:r>
    </w:p>
    <w:p w14:paraId="6124DEA6">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ind w:firstLine="720"/>
        <w:jc w:val="both"/>
        <w:textAlignment w:val="auto"/>
        <w:rPr>
          <w:rFonts w:hint="default" w:ascii="Calibri" w:hAnsi="Calibri" w:cs="Calibri"/>
          <w:sz w:val="22"/>
          <w:szCs w:val="22"/>
        </w:rPr>
      </w:pPr>
      <w:r>
        <w:rPr>
          <w:rFonts w:hint="default" w:ascii="Calibri" w:hAnsi="Calibri" w:cs="Calibri"/>
          <w:sz w:val="22"/>
          <w:szCs w:val="22"/>
        </w:rPr>
        <w:t>La violencia extrema ejercida por el aparato colonial confirma que el poder imperial reconocía implícitamente el potencial subversivo del parentesco. La ejecución pública, el exilio y la negación forzada de los vínculos filiales no fueron solo actos de crueldad, sino estrategias deliberadas para desarticular la capacidad simbólica de la familia como reproductora de memoria y ejemplo (Cahill, 1999; Jalal-Kermele, 2011). Como exponen Parolo (2017) y Bazurco (2020), la represión buscó destruir no solo los cuerpos de los líderes, sino la infraestructura afectiva que permitía la continuidad de la resistencia. Esta interpretación dialoga con los estudios de Guerrero Oñate (2023) y Huerta (2021) sobre cómo la corona española reaccionó ferozmente ante cualquier forma de liderazgo indígena que amenazara la estabilidad del orden virreinal, utilizando el castigo ejemplar para quebrar el tejido social que sostenía la insurrección.</w:t>
      </w:r>
    </w:p>
    <w:p w14:paraId="37C071AB">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ind w:firstLine="720"/>
        <w:jc w:val="both"/>
        <w:textAlignment w:val="auto"/>
        <w:rPr>
          <w:rFonts w:hint="default" w:ascii="Calibri" w:hAnsi="Calibri" w:cs="Calibri"/>
          <w:sz w:val="22"/>
          <w:szCs w:val="22"/>
        </w:rPr>
      </w:pPr>
      <w:r>
        <w:rPr>
          <w:rFonts w:hint="default" w:ascii="Calibri" w:hAnsi="Calibri" w:cs="Calibri"/>
          <w:sz w:val="22"/>
          <w:szCs w:val="22"/>
        </w:rPr>
        <w:t>La incorporación de la experiencia autoetnográfica contemporánea permite ampliar el análisis más allá del caso histórico, mostrando que la resistencia afectiva constituye una constante antropológica en contextos de amenaza extrema. La crisis de salud analizada funciona como una "resonancia simbólica"</w:t>
      </w:r>
      <w:r>
        <w:rPr>
          <w:rFonts w:hint="default" w:ascii="Calibri" w:hAnsi="Calibri" w:cs="Calibri"/>
          <w:sz w:val="22"/>
          <w:szCs w:val="22"/>
          <w:lang w:val="es-ES"/>
        </w:rPr>
        <w:t xml:space="preserve">, </w:t>
      </w:r>
      <w:r>
        <w:rPr>
          <w:rFonts w:hint="default" w:ascii="Calibri" w:hAnsi="Calibri" w:cs="Calibri"/>
          <w:sz w:val="22"/>
          <w:szCs w:val="22"/>
        </w:rPr>
        <w:t>no como una equivalencia directa</w:t>
      </w:r>
      <w:r>
        <w:rPr>
          <w:rFonts w:hint="default" w:ascii="Calibri" w:hAnsi="Calibri" w:cs="Calibri"/>
          <w:sz w:val="22"/>
          <w:szCs w:val="22"/>
          <w:lang w:val="es-ES"/>
        </w:rPr>
        <w:t>,</w:t>
      </w:r>
      <w:r>
        <w:rPr>
          <w:rFonts w:hint="default" w:ascii="Calibri" w:hAnsi="Calibri" w:cs="Calibri"/>
          <w:sz w:val="22"/>
          <w:szCs w:val="22"/>
        </w:rPr>
        <w:t xml:space="preserve"> que ilumina dimensiones humanas frecuentemente invisibilizadas en los análisis macrosociales (Arias, 2024). Mientras la rebelión del siglo XVIII significó una urgencia histórica frente a la opresión colonial, la experiencia contemporánea revela una revalorización del tiempo suspendido ante la fragilidad de la vida. Esta resignificación refuerza la idea de que la resistencia también se manifiesta como permanencia, cuidado y presencia, dimensiones fundamentales para entender la agencia humana más allá de la confrontación abierta (Quichua, 2021; Espinal Enciso, 2025).</w:t>
      </w:r>
    </w:p>
    <w:p w14:paraId="013C8F3D">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ind w:firstLine="720"/>
        <w:jc w:val="both"/>
        <w:textAlignment w:val="auto"/>
        <w:rPr>
          <w:rFonts w:hint="default" w:ascii="Calibri" w:hAnsi="Calibri" w:cs="Calibri"/>
          <w:sz w:val="22"/>
          <w:szCs w:val="22"/>
        </w:rPr>
      </w:pPr>
      <w:r>
        <w:rPr>
          <w:rFonts w:hint="default" w:ascii="Calibri" w:hAnsi="Calibri" w:cs="Calibri"/>
          <w:sz w:val="22"/>
          <w:szCs w:val="22"/>
        </w:rPr>
        <w:t>En última instancia, el estudio demuestra que la resistencia no es una práctica política despersonalizada, sino una experiencia profundamente humana sostenida por afectos y convicciones. La familia, tanto en el pasado como en el presente, aparece como el espacio donde se producen sentidos de dignidad, justicia y vitalidad (Gutiérrez Escudero, 2006). En concordancia con los aportes de Bunster y Lorandi (2025) y Ormeño (2011), se concluye que los grandes procesos sociales</w:t>
      </w:r>
      <w:r>
        <w:rPr>
          <w:rFonts w:hint="default" w:ascii="Calibri" w:hAnsi="Calibri" w:cs="Calibri"/>
          <w:sz w:val="22"/>
          <w:szCs w:val="22"/>
          <w:lang w:val="es-ES"/>
        </w:rPr>
        <w:t xml:space="preserve">, </w:t>
      </w:r>
      <w:r>
        <w:rPr>
          <w:rFonts w:hint="default" w:ascii="Calibri" w:hAnsi="Calibri" w:cs="Calibri"/>
          <w:sz w:val="22"/>
          <w:szCs w:val="22"/>
        </w:rPr>
        <w:t>ya sean de emancipación o de superación de crisis personales</w:t>
      </w:r>
      <w:r>
        <w:rPr>
          <w:rFonts w:hint="default" w:ascii="Calibri" w:hAnsi="Calibri" w:cs="Calibri"/>
          <w:sz w:val="22"/>
          <w:szCs w:val="22"/>
          <w:lang w:val="es-ES"/>
        </w:rPr>
        <w:t>,</w:t>
      </w:r>
      <w:r>
        <w:rPr>
          <w:rFonts w:hint="default" w:ascii="Calibri" w:hAnsi="Calibri" w:cs="Calibri"/>
          <w:sz w:val="22"/>
          <w:szCs w:val="22"/>
        </w:rPr>
        <w:t xml:space="preserve"> se sostienen sobre vínculos íntimos. Es a través de estos lazos que la acción colectiva adquiere coherencia, legitimidad y la fuerza necesaria para persistir ante cualquier forma de adversidad histórica.</w:t>
      </w:r>
    </w:p>
    <w:p w14:paraId="5207ECDC">
      <w:pPr>
        <w:pStyle w:val="3"/>
        <w:rPr>
          <w:rFonts w:cstheme="minorHAnsi"/>
          <w:b w:val="0"/>
          <w:bCs w:val="0"/>
          <w:szCs w:val="24"/>
        </w:rPr>
      </w:pPr>
      <w:r>
        <w:rPr>
          <w:rFonts w:cstheme="minorHAnsi"/>
          <w:szCs w:val="24"/>
        </w:rPr>
        <w:t>Consideraciones finales</w:t>
      </w:r>
    </w:p>
    <w:p w14:paraId="4D286EC6">
      <w:pPr>
        <w:pStyle w:val="2"/>
        <w:spacing w:after="0"/>
        <w:ind w:firstLine="720"/>
        <w:rPr>
          <w:rFonts w:cstheme="minorHAnsi"/>
          <w:b w:val="0"/>
          <w:bCs w:val="0"/>
          <w:sz w:val="22"/>
          <w:szCs w:val="22"/>
          <w:lang w:eastAsia="es-VE"/>
        </w:rPr>
      </w:pPr>
      <w:r>
        <w:rPr>
          <w:rFonts w:hint="default" w:cstheme="minorHAnsi"/>
          <w:b w:val="0"/>
          <w:bCs w:val="0"/>
          <w:sz w:val="22"/>
          <w:szCs w:val="22"/>
          <w:lang w:eastAsia="es-VE"/>
        </w:rPr>
        <w:t>El análisis desarrollado en este artículo permite afirmar que la rebelión encabezada por Túpac Amaru II no puede ser comprendida de manera integral si se excluye la dimensión familiar y afectiva que la sostuvo, así, la experiencia histórica de la familia Condorcanqui–Bastidas evidencia que la resistencia no fue únicamente una respuesta estructural a la opresión colonial, sino una práctica profundamente humana, anclada en vínculos de parentesco, lealtades emocionales y compromisos morales compartidos, en este sentido, la familia operó como un espacio central de producción simbólica desde el cual se articularon el liderazgo político, la cohesión social y la continuidad del proyecto insurgente, asimismo, el rol desempeñado por Micaela Bastidas confirma que la resistencia no se organizó únicamente desde lógicas patriarcales o jerárquicas, sino a partir de una relación conyugal y familiar basada en la confianza, la corresponsabilidad y la convicción compartida de justicia. Su liderazgo estratégico y afectivo cuestiona las lecturas tradicionales que minimizan la participación femenina en los procesos históricos, y reafirma la necesidad de incorporar enfoques antropológicos y de género para una comprensión más completa de las dinámicas de poder y resistencia en el periodo colonial. La incorporación de la autoetnografía como recurso metodológico permitió establecer un diálogo reflexivo entre pasado y presente, evidenciando que la familia continúa siendo un núcleo privilegiado de resistencia frente a contextos de adversidad extrema, sin establecer equivalencias históricas, las resonancias simbólicas identificadas muestran que el amor, el cuidado y la permanencia constituyen fuerzas movilizadoras que sostienen tanto la lucha política como la lucha por la vida, así, de este modo, la resistencia se revela no solo como confrontación externa, sino también como una práctica cotidiana y relacional.</w:t>
      </w:r>
    </w:p>
    <w:p w14:paraId="5460F77B">
      <w:pPr>
        <w:pStyle w:val="2"/>
        <w:spacing w:before="238"/>
        <w:rPr>
          <w:sz w:val="24"/>
          <w:szCs w:val="24"/>
        </w:rPr>
      </w:pPr>
      <w:r>
        <w:rPr>
          <w:spacing w:val="-2"/>
          <w:sz w:val="24"/>
          <w:szCs w:val="24"/>
        </w:rPr>
        <w:t>Agradecimientos</w:t>
      </w:r>
    </w:p>
    <w:p w14:paraId="2702FB95">
      <w:pPr>
        <w:spacing w:before="184"/>
        <w:ind w:firstLine="720"/>
        <w:jc w:val="both"/>
        <w:rPr>
          <w:lang w:val="es-ES"/>
        </w:rPr>
      </w:pPr>
      <w:r>
        <w:rPr>
          <w:lang w:val="es-ES"/>
        </w:rPr>
        <w:t>A</w:t>
      </w:r>
      <w:r>
        <w:rPr>
          <w:spacing w:val="-7"/>
          <w:lang w:val="es-ES"/>
        </w:rPr>
        <w:t xml:space="preserve"> </w:t>
      </w:r>
      <w:r>
        <w:rPr>
          <w:lang w:val="es-ES"/>
        </w:rPr>
        <w:t>nuestros colaboradores</w:t>
      </w:r>
      <w:r>
        <w:rPr>
          <w:spacing w:val="-2"/>
          <w:lang w:val="es-ES"/>
        </w:rPr>
        <w:t>.</w:t>
      </w:r>
    </w:p>
    <w:p w14:paraId="387A4B10">
      <w:pPr>
        <w:pStyle w:val="2"/>
        <w:spacing w:before="241"/>
        <w:rPr>
          <w:sz w:val="24"/>
          <w:szCs w:val="24"/>
        </w:rPr>
      </w:pPr>
      <w:bookmarkStart w:id="2" w:name="Conflicto_de_intereses"/>
      <w:bookmarkEnd w:id="2"/>
      <w:r>
        <w:rPr>
          <w:sz w:val="24"/>
          <w:szCs w:val="24"/>
        </w:rPr>
        <w:t>Conflicto</w:t>
      </w:r>
      <w:r>
        <w:rPr>
          <w:spacing w:val="-3"/>
          <w:sz w:val="24"/>
          <w:szCs w:val="24"/>
        </w:rPr>
        <w:t xml:space="preserve"> </w:t>
      </w:r>
      <w:r>
        <w:rPr>
          <w:sz w:val="24"/>
          <w:szCs w:val="24"/>
        </w:rPr>
        <w:t>de</w:t>
      </w:r>
      <w:r>
        <w:rPr>
          <w:spacing w:val="-4"/>
          <w:sz w:val="24"/>
          <w:szCs w:val="24"/>
        </w:rPr>
        <w:t xml:space="preserve"> </w:t>
      </w:r>
      <w:r>
        <w:rPr>
          <w:spacing w:val="-2"/>
          <w:sz w:val="24"/>
          <w:szCs w:val="24"/>
        </w:rPr>
        <w:t>intereses</w:t>
      </w:r>
    </w:p>
    <w:p w14:paraId="469E66AD">
      <w:pPr>
        <w:spacing w:before="182"/>
        <w:ind w:firstLine="720"/>
        <w:jc w:val="both"/>
        <w:rPr>
          <w:szCs w:val="24"/>
          <w:lang w:val="es-ES"/>
        </w:rPr>
      </w:pPr>
      <w:r>
        <w:rPr>
          <w:szCs w:val="24"/>
          <w:lang w:val="es-ES"/>
        </w:rPr>
        <w:t>Ninguno</w:t>
      </w:r>
      <w:r>
        <w:rPr>
          <w:spacing w:val="-2"/>
          <w:szCs w:val="24"/>
          <w:lang w:val="es-ES"/>
        </w:rPr>
        <w:t>.</w:t>
      </w:r>
    </w:p>
    <w:p w14:paraId="52E17F54">
      <w:pPr>
        <w:keepNext w:val="0"/>
        <w:keepLines w:val="0"/>
        <w:pageBreakBefore w:val="0"/>
        <w:widowControl/>
        <w:kinsoku/>
        <w:wordWrap/>
        <w:overflowPunct/>
        <w:topLinePunct w:val="0"/>
        <w:autoSpaceDE/>
        <w:autoSpaceDN/>
        <w:bidi w:val="0"/>
        <w:adjustRightInd/>
        <w:snapToGrid/>
        <w:spacing w:before="240" w:beforeAutospacing="0" w:after="120" w:afterAutospacing="0" w:line="240" w:lineRule="auto"/>
        <w:textAlignment w:val="auto"/>
        <w:outlineLvl w:val="2"/>
        <w:rPr>
          <w:rFonts w:cstheme="minorHAnsi"/>
          <w:sz w:val="20"/>
          <w:szCs w:val="20"/>
          <w:lang w:val="es-ES"/>
        </w:rPr>
      </w:pPr>
      <w:r>
        <w:rPr>
          <w:rFonts w:eastAsia="Times New Roman" w:cstheme="minorHAnsi"/>
          <w:b/>
          <w:bCs/>
          <w:sz w:val="24"/>
          <w:szCs w:val="24"/>
          <w:lang w:val="es-ES" w:eastAsia="es-VE"/>
        </w:rPr>
        <w:t>Referencias</w:t>
      </w:r>
    </w:p>
    <w:p w14:paraId="1271D51D">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Autospacing="0"/>
        <w:ind w:left="720" w:hanging="720"/>
        <w:jc w:val="both"/>
        <w:textAlignment w:val="auto"/>
        <w:rPr>
          <w:rFonts w:hint="default" w:ascii="Calibri" w:hAnsi="Calibri" w:cs="Calibri"/>
          <w:sz w:val="22"/>
          <w:szCs w:val="22"/>
        </w:rPr>
      </w:pPr>
      <w:r>
        <w:rPr>
          <w:rFonts w:hint="default" w:ascii="Calibri" w:hAnsi="Calibri" w:cs="Calibri"/>
          <w:sz w:val="22"/>
          <w:szCs w:val="22"/>
        </w:rPr>
        <w:t xml:space="preserve">Arias, R. (2024). </w:t>
      </w:r>
      <w:r>
        <w:rPr>
          <w:rFonts w:hint="default" w:ascii="Calibri" w:hAnsi="Calibri" w:cs="Calibri"/>
          <w:i/>
          <w:iCs/>
          <w:sz w:val="22"/>
          <w:szCs w:val="22"/>
        </w:rPr>
        <w:t>Amistad y servicio: La experiencia de ser voluntario</w:t>
      </w:r>
      <w:r>
        <w:rPr>
          <w:rFonts w:hint="default" w:ascii="Calibri" w:hAnsi="Calibri" w:cs="Calibri"/>
          <w:sz w:val="22"/>
          <w:szCs w:val="22"/>
        </w:rPr>
        <w:t>. Universidad Nacional de Huancavelica.</w:t>
      </w:r>
    </w:p>
    <w:p w14:paraId="71F4F4AD">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Autospacing="0"/>
        <w:ind w:left="720" w:hanging="720"/>
        <w:jc w:val="both"/>
        <w:textAlignment w:val="auto"/>
        <w:rPr>
          <w:rFonts w:hint="default" w:ascii="Calibri" w:hAnsi="Calibri" w:cs="Calibri"/>
          <w:sz w:val="22"/>
          <w:szCs w:val="22"/>
        </w:rPr>
      </w:pPr>
      <w:r>
        <w:rPr>
          <w:rFonts w:hint="default" w:ascii="Calibri" w:hAnsi="Calibri" w:cs="Calibri"/>
          <w:sz w:val="22"/>
          <w:szCs w:val="22"/>
        </w:rPr>
        <w:t xml:space="preserve">Arroyo, E. (2015). Túpac Amaru II: 235 años de su gesta emancipadora. </w:t>
      </w:r>
      <w:r>
        <w:rPr>
          <w:rFonts w:hint="default" w:ascii="Calibri" w:hAnsi="Calibri" w:cs="Calibri"/>
          <w:i/>
          <w:iCs/>
          <w:sz w:val="22"/>
          <w:szCs w:val="22"/>
        </w:rPr>
        <w:t>Tradición</w:t>
      </w:r>
      <w:r>
        <w:rPr>
          <w:rFonts w:hint="default" w:ascii="Calibri" w:hAnsi="Calibri" w:cs="Calibri"/>
          <w:sz w:val="22"/>
          <w:szCs w:val="22"/>
        </w:rPr>
        <w:t xml:space="preserve">, (15), 22–27. </w:t>
      </w:r>
      <w:r>
        <w:rPr>
          <w:rFonts w:hint="default" w:ascii="Calibri" w:hAnsi="Calibri" w:cs="Calibri"/>
          <w:sz w:val="22"/>
          <w:szCs w:val="22"/>
        </w:rPr>
        <w:fldChar w:fldCharType="begin"/>
      </w:r>
      <w:r>
        <w:rPr>
          <w:rFonts w:hint="default" w:ascii="Calibri" w:hAnsi="Calibri" w:cs="Calibri"/>
          <w:sz w:val="22"/>
          <w:szCs w:val="22"/>
        </w:rPr>
        <w:instrText xml:space="preserve"> HYPERLINK "https://doi.org/10.31381/tradicion.v0i15.301" \t "_blank" </w:instrText>
      </w:r>
      <w:r>
        <w:rPr>
          <w:rFonts w:hint="default" w:ascii="Calibri" w:hAnsi="Calibri" w:cs="Calibri"/>
          <w:sz w:val="22"/>
          <w:szCs w:val="22"/>
        </w:rPr>
        <w:fldChar w:fldCharType="separate"/>
      </w:r>
      <w:r>
        <w:rPr>
          <w:rStyle w:val="11"/>
          <w:rFonts w:hint="default" w:ascii="Calibri" w:hAnsi="Calibri" w:cs="Calibri"/>
          <w:sz w:val="22"/>
          <w:szCs w:val="22"/>
        </w:rPr>
        <w:t>https://doi.org/10.31381/tradicion.v0i15.301</w:t>
      </w:r>
      <w:r>
        <w:rPr>
          <w:rFonts w:hint="default" w:ascii="Calibri" w:hAnsi="Calibri" w:cs="Calibri"/>
          <w:sz w:val="22"/>
          <w:szCs w:val="22"/>
        </w:rPr>
        <w:fldChar w:fldCharType="end"/>
      </w:r>
    </w:p>
    <w:p w14:paraId="46D81A70">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Autospacing="0"/>
        <w:ind w:left="720" w:hanging="720"/>
        <w:jc w:val="both"/>
        <w:textAlignment w:val="auto"/>
        <w:rPr>
          <w:rFonts w:hint="default" w:ascii="Calibri" w:hAnsi="Calibri" w:cs="Calibri"/>
          <w:sz w:val="22"/>
          <w:szCs w:val="22"/>
        </w:rPr>
      </w:pPr>
      <w:r>
        <w:rPr>
          <w:rFonts w:hint="default" w:ascii="Calibri" w:hAnsi="Calibri" w:cs="Calibri"/>
          <w:sz w:val="22"/>
          <w:szCs w:val="22"/>
        </w:rPr>
        <w:t xml:space="preserve">Bazurco, R. (2020). Testimonio y representación durante el sitio de la Intendencia de La Paz en 1782 en las postrimerías de la insurgencia de Túpac Amaru II. </w:t>
      </w:r>
      <w:r>
        <w:rPr>
          <w:rFonts w:hint="default" w:ascii="Calibri" w:hAnsi="Calibri" w:cs="Calibri"/>
          <w:i/>
          <w:iCs/>
          <w:sz w:val="22"/>
          <w:szCs w:val="22"/>
        </w:rPr>
        <w:t>Acta Herediana</w:t>
      </w:r>
      <w:r>
        <w:rPr>
          <w:rFonts w:hint="default" w:ascii="Calibri" w:hAnsi="Calibri" w:cs="Calibri"/>
          <w:sz w:val="22"/>
          <w:szCs w:val="22"/>
        </w:rPr>
        <w:t xml:space="preserve">, </w:t>
      </w:r>
      <w:r>
        <w:rPr>
          <w:rFonts w:hint="default" w:ascii="Calibri" w:hAnsi="Calibri" w:cs="Calibri"/>
          <w:i/>
          <w:iCs/>
          <w:sz w:val="22"/>
          <w:szCs w:val="22"/>
        </w:rPr>
        <w:t>63</w:t>
      </w:r>
      <w:r>
        <w:rPr>
          <w:rFonts w:hint="default" w:ascii="Calibri" w:hAnsi="Calibri" w:cs="Calibri"/>
          <w:sz w:val="22"/>
          <w:szCs w:val="22"/>
        </w:rPr>
        <w:t xml:space="preserve">(2), 167–174. </w:t>
      </w:r>
      <w:r>
        <w:rPr>
          <w:rFonts w:hint="default" w:ascii="Calibri" w:hAnsi="Calibri" w:cs="Calibri"/>
          <w:sz w:val="22"/>
          <w:szCs w:val="22"/>
        </w:rPr>
        <w:fldChar w:fldCharType="begin"/>
      </w:r>
      <w:r>
        <w:rPr>
          <w:rFonts w:hint="default" w:ascii="Calibri" w:hAnsi="Calibri" w:cs="Calibri"/>
          <w:sz w:val="22"/>
          <w:szCs w:val="22"/>
        </w:rPr>
        <w:instrText xml:space="preserve"> HYPERLINK "https://doi.org/10.20453/ah.v63i2.3837" \t "_blank" </w:instrText>
      </w:r>
      <w:r>
        <w:rPr>
          <w:rFonts w:hint="default" w:ascii="Calibri" w:hAnsi="Calibri" w:cs="Calibri"/>
          <w:sz w:val="22"/>
          <w:szCs w:val="22"/>
        </w:rPr>
        <w:fldChar w:fldCharType="separate"/>
      </w:r>
      <w:r>
        <w:rPr>
          <w:rStyle w:val="11"/>
          <w:rFonts w:hint="default" w:ascii="Calibri" w:hAnsi="Calibri" w:cs="Calibri"/>
          <w:sz w:val="22"/>
          <w:szCs w:val="22"/>
        </w:rPr>
        <w:t>https://doi.org/10.20453/ah.v63i2.3837</w:t>
      </w:r>
      <w:r>
        <w:rPr>
          <w:rFonts w:hint="default" w:ascii="Calibri" w:hAnsi="Calibri" w:cs="Calibri"/>
          <w:sz w:val="22"/>
          <w:szCs w:val="22"/>
        </w:rPr>
        <w:fldChar w:fldCharType="end"/>
      </w:r>
    </w:p>
    <w:p w14:paraId="33386332">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Autospacing="0"/>
        <w:ind w:left="720" w:hanging="720"/>
        <w:jc w:val="both"/>
        <w:textAlignment w:val="auto"/>
        <w:rPr>
          <w:rFonts w:hint="default" w:ascii="Calibri" w:hAnsi="Calibri" w:cs="Calibri"/>
          <w:sz w:val="22"/>
          <w:szCs w:val="22"/>
        </w:rPr>
      </w:pPr>
      <w:r>
        <w:rPr>
          <w:rFonts w:hint="default" w:ascii="Calibri" w:hAnsi="Calibri" w:cs="Calibri"/>
          <w:sz w:val="22"/>
          <w:szCs w:val="22"/>
        </w:rPr>
        <w:t xml:space="preserve">Bunster, C., &amp; Lorandi, A. M. (2025). El fantasma del criollismo después de la rebelión de Túpac Amaru. </w:t>
      </w:r>
      <w:r>
        <w:rPr>
          <w:rFonts w:hint="default" w:ascii="Calibri" w:hAnsi="Calibri" w:cs="Calibri"/>
          <w:i/>
          <w:iCs/>
          <w:sz w:val="22"/>
          <w:szCs w:val="22"/>
        </w:rPr>
        <w:t>Histórica</w:t>
      </w:r>
      <w:r>
        <w:rPr>
          <w:rFonts w:hint="default" w:ascii="Calibri" w:hAnsi="Calibri" w:cs="Calibri"/>
          <w:sz w:val="22"/>
          <w:szCs w:val="22"/>
        </w:rPr>
        <w:t xml:space="preserve">, </w:t>
      </w:r>
      <w:r>
        <w:rPr>
          <w:rFonts w:hint="default" w:ascii="Calibri" w:hAnsi="Calibri" w:cs="Calibri"/>
          <w:i/>
          <w:iCs/>
          <w:sz w:val="22"/>
          <w:szCs w:val="22"/>
        </w:rPr>
        <w:t>30</w:t>
      </w:r>
      <w:r>
        <w:rPr>
          <w:rFonts w:hint="default" w:ascii="Calibri" w:hAnsi="Calibri" w:cs="Calibri"/>
          <w:sz w:val="22"/>
          <w:szCs w:val="22"/>
        </w:rPr>
        <w:t xml:space="preserve">(1), 99–135. </w:t>
      </w:r>
      <w:r>
        <w:rPr>
          <w:rFonts w:hint="default" w:ascii="Calibri" w:hAnsi="Calibri" w:cs="Calibri"/>
          <w:sz w:val="22"/>
          <w:szCs w:val="22"/>
        </w:rPr>
        <w:fldChar w:fldCharType="begin"/>
      </w:r>
      <w:r>
        <w:rPr>
          <w:rFonts w:hint="default" w:ascii="Calibri" w:hAnsi="Calibri" w:cs="Calibri"/>
          <w:sz w:val="22"/>
          <w:szCs w:val="22"/>
        </w:rPr>
        <w:instrText xml:space="preserve"> HYPERLINK "https://doi.org/10.18800/historica.200601.003" \t "_blank" </w:instrText>
      </w:r>
      <w:r>
        <w:rPr>
          <w:rFonts w:hint="default" w:ascii="Calibri" w:hAnsi="Calibri" w:cs="Calibri"/>
          <w:sz w:val="22"/>
          <w:szCs w:val="22"/>
        </w:rPr>
        <w:fldChar w:fldCharType="separate"/>
      </w:r>
      <w:r>
        <w:rPr>
          <w:rStyle w:val="11"/>
          <w:rFonts w:hint="default" w:ascii="Calibri" w:hAnsi="Calibri" w:cs="Calibri"/>
          <w:sz w:val="22"/>
          <w:szCs w:val="22"/>
        </w:rPr>
        <w:t>https://doi.org/10.18800/historica.200601.003</w:t>
      </w:r>
      <w:r>
        <w:rPr>
          <w:rFonts w:hint="default" w:ascii="Calibri" w:hAnsi="Calibri" w:cs="Calibri"/>
          <w:sz w:val="22"/>
          <w:szCs w:val="22"/>
        </w:rPr>
        <w:fldChar w:fldCharType="end"/>
      </w:r>
    </w:p>
    <w:p w14:paraId="71D66877">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Autospacing="0"/>
        <w:ind w:left="720" w:hanging="720"/>
        <w:jc w:val="both"/>
        <w:textAlignment w:val="auto"/>
        <w:rPr>
          <w:rFonts w:hint="default" w:ascii="Calibri" w:hAnsi="Calibri" w:cs="Calibri"/>
          <w:sz w:val="22"/>
          <w:szCs w:val="22"/>
        </w:rPr>
      </w:pPr>
      <w:r>
        <w:rPr>
          <w:rFonts w:hint="default" w:ascii="Calibri" w:hAnsi="Calibri" w:cs="Calibri"/>
          <w:sz w:val="22"/>
          <w:szCs w:val="22"/>
        </w:rPr>
        <w:t xml:space="preserve">Cahill, D. (1999). </w:t>
      </w:r>
      <w:r>
        <w:rPr>
          <w:rFonts w:hint="default" w:ascii="Calibri" w:hAnsi="Calibri" w:cs="Calibri"/>
          <w:i/>
          <w:iCs/>
          <w:sz w:val="22"/>
          <w:szCs w:val="22"/>
        </w:rPr>
        <w:t>Violencia, represión y rebelión en el sur andino: La sublevación de Túpac Amaru y sus consecuencias</w:t>
      </w:r>
      <w:r>
        <w:rPr>
          <w:rFonts w:hint="default" w:ascii="Calibri" w:hAnsi="Calibri" w:cs="Calibri"/>
          <w:sz w:val="22"/>
          <w:szCs w:val="22"/>
        </w:rPr>
        <w:t xml:space="preserve"> (Documento de trabajo N.º 105, Serie Historia N.º 17). Instituto de Estudios Peruanos. </w:t>
      </w:r>
      <w:r>
        <w:rPr>
          <w:rFonts w:hint="default" w:ascii="Calibri" w:hAnsi="Calibri" w:cs="Calibri"/>
          <w:sz w:val="22"/>
          <w:szCs w:val="22"/>
        </w:rPr>
        <w:fldChar w:fldCharType="begin"/>
      </w:r>
      <w:r>
        <w:rPr>
          <w:rFonts w:hint="default" w:ascii="Calibri" w:hAnsi="Calibri" w:cs="Calibri"/>
          <w:sz w:val="22"/>
          <w:szCs w:val="22"/>
        </w:rPr>
        <w:instrText xml:space="preserve"> HYPERLINK "https://centroderecursos.cultura.pe/es/registrobibliografico/violencia-represi%C3%B3n-y-rebeli%C3%B3n-en-el-sur-andino-la-sublevaci%C3%B3n-de-t%C3%BApac-amaru" \t "_blank" </w:instrText>
      </w:r>
      <w:r>
        <w:rPr>
          <w:rFonts w:hint="default" w:ascii="Calibri" w:hAnsi="Calibri" w:cs="Calibri"/>
          <w:sz w:val="22"/>
          <w:szCs w:val="22"/>
        </w:rPr>
        <w:fldChar w:fldCharType="separate"/>
      </w:r>
      <w:r>
        <w:rPr>
          <w:rStyle w:val="11"/>
          <w:rFonts w:hint="default" w:ascii="Calibri" w:hAnsi="Calibri" w:cs="Calibri"/>
          <w:sz w:val="22"/>
          <w:szCs w:val="22"/>
        </w:rPr>
        <w:t>https://centroderecursos.cultura.pe/es/registrobibliografico/violencia-represi%C3%B3n-y-rebeli%C3%B3n-en-el-sur-andino-la-sublevaci%C3%B3n-de-t%C3%BApac-amaru</w:t>
      </w:r>
      <w:r>
        <w:rPr>
          <w:rFonts w:hint="default" w:ascii="Calibri" w:hAnsi="Calibri" w:cs="Calibri"/>
          <w:sz w:val="22"/>
          <w:szCs w:val="22"/>
        </w:rPr>
        <w:fldChar w:fldCharType="end"/>
      </w:r>
    </w:p>
    <w:p w14:paraId="1F8722FC">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Autospacing="0"/>
        <w:ind w:left="720" w:hanging="720"/>
        <w:jc w:val="both"/>
        <w:textAlignment w:val="auto"/>
        <w:rPr>
          <w:rFonts w:hint="default" w:ascii="Calibri" w:hAnsi="Calibri" w:cs="Calibri"/>
          <w:sz w:val="22"/>
          <w:szCs w:val="22"/>
        </w:rPr>
      </w:pPr>
      <w:r>
        <w:rPr>
          <w:rFonts w:hint="default" w:ascii="Calibri" w:hAnsi="Calibri" w:cs="Calibri"/>
          <w:sz w:val="22"/>
          <w:szCs w:val="22"/>
        </w:rPr>
        <w:t xml:space="preserve">Escanilla, S. (2021). El rol de los sectores indígenas en la independencia del Perú: Bases para una nueva interpretación. </w:t>
      </w:r>
      <w:r>
        <w:rPr>
          <w:rFonts w:hint="default" w:ascii="Calibri" w:hAnsi="Calibri" w:cs="Calibri"/>
          <w:i/>
          <w:iCs/>
          <w:sz w:val="22"/>
          <w:szCs w:val="22"/>
        </w:rPr>
        <w:t>Revista de Indias</w:t>
      </w:r>
      <w:r>
        <w:rPr>
          <w:rFonts w:hint="default" w:ascii="Calibri" w:hAnsi="Calibri" w:cs="Calibri"/>
          <w:sz w:val="22"/>
          <w:szCs w:val="22"/>
        </w:rPr>
        <w:t xml:space="preserve">, </w:t>
      </w:r>
      <w:r>
        <w:rPr>
          <w:rFonts w:hint="default" w:ascii="Calibri" w:hAnsi="Calibri" w:cs="Calibri"/>
          <w:i/>
          <w:iCs/>
          <w:sz w:val="22"/>
          <w:szCs w:val="22"/>
        </w:rPr>
        <w:t>LXXXI</w:t>
      </w:r>
      <w:r>
        <w:rPr>
          <w:rFonts w:hint="default" w:ascii="Calibri" w:hAnsi="Calibri" w:cs="Calibri"/>
          <w:sz w:val="22"/>
          <w:szCs w:val="22"/>
        </w:rPr>
        <w:t>(281), 51–81.</w:t>
      </w:r>
    </w:p>
    <w:p w14:paraId="4AB8C78C">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Autospacing="0"/>
        <w:ind w:left="720" w:hanging="720"/>
        <w:jc w:val="both"/>
        <w:textAlignment w:val="auto"/>
        <w:rPr>
          <w:rFonts w:hint="default" w:ascii="Calibri" w:hAnsi="Calibri" w:cs="Calibri"/>
          <w:sz w:val="22"/>
          <w:szCs w:val="22"/>
        </w:rPr>
      </w:pPr>
      <w:r>
        <w:rPr>
          <w:rFonts w:hint="default" w:ascii="Calibri" w:hAnsi="Calibri" w:cs="Calibri"/>
          <w:sz w:val="22"/>
          <w:szCs w:val="22"/>
        </w:rPr>
        <w:t xml:space="preserve">Espinal Enciso, V. F. (2025). El cacique en su laberinto: Ignacio Quispe Ninavilca y la guerra de independencia. Huarochirí, Perú, 1820-1824. </w:t>
      </w:r>
      <w:r>
        <w:rPr>
          <w:rFonts w:hint="default" w:ascii="Calibri" w:hAnsi="Calibri" w:cs="Calibri"/>
          <w:i/>
          <w:iCs/>
          <w:sz w:val="22"/>
          <w:szCs w:val="22"/>
        </w:rPr>
        <w:t>Trashumante: Revista Americana de Historia Social</w:t>
      </w:r>
      <w:r>
        <w:rPr>
          <w:rFonts w:hint="default" w:ascii="Calibri" w:hAnsi="Calibri" w:cs="Calibri"/>
          <w:sz w:val="22"/>
          <w:szCs w:val="22"/>
        </w:rPr>
        <w:t xml:space="preserve">, (23), 212–235. </w:t>
      </w:r>
      <w:r>
        <w:rPr>
          <w:rFonts w:hint="default" w:ascii="Calibri" w:hAnsi="Calibri" w:cs="Calibri"/>
          <w:sz w:val="22"/>
          <w:szCs w:val="22"/>
        </w:rPr>
        <w:fldChar w:fldCharType="begin"/>
      </w:r>
      <w:r>
        <w:rPr>
          <w:rFonts w:hint="default" w:ascii="Calibri" w:hAnsi="Calibri" w:cs="Calibri"/>
          <w:sz w:val="22"/>
          <w:szCs w:val="22"/>
        </w:rPr>
        <w:instrText xml:space="preserve"> HYPERLINK "https://doi.org/10.17533/udea.trahs.n23a10" \t "_blank" </w:instrText>
      </w:r>
      <w:r>
        <w:rPr>
          <w:rFonts w:hint="default" w:ascii="Calibri" w:hAnsi="Calibri" w:cs="Calibri"/>
          <w:sz w:val="22"/>
          <w:szCs w:val="22"/>
        </w:rPr>
        <w:fldChar w:fldCharType="separate"/>
      </w:r>
      <w:r>
        <w:rPr>
          <w:rStyle w:val="11"/>
          <w:rFonts w:hint="default" w:ascii="Calibri" w:hAnsi="Calibri" w:cs="Calibri"/>
          <w:sz w:val="22"/>
          <w:szCs w:val="22"/>
        </w:rPr>
        <w:t>https://doi.org/10.17533/udea.trahs.n23a10</w:t>
      </w:r>
      <w:r>
        <w:rPr>
          <w:rFonts w:hint="default" w:ascii="Calibri" w:hAnsi="Calibri" w:cs="Calibri"/>
          <w:sz w:val="22"/>
          <w:szCs w:val="22"/>
        </w:rPr>
        <w:fldChar w:fldCharType="end"/>
      </w:r>
    </w:p>
    <w:p w14:paraId="6F55F990">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Autospacing="0"/>
        <w:ind w:left="720" w:hanging="720"/>
        <w:jc w:val="both"/>
        <w:textAlignment w:val="auto"/>
        <w:rPr>
          <w:rFonts w:hint="default" w:ascii="Calibri" w:hAnsi="Calibri" w:cs="Calibri"/>
          <w:sz w:val="22"/>
          <w:szCs w:val="22"/>
        </w:rPr>
      </w:pPr>
      <w:r>
        <w:rPr>
          <w:rFonts w:hint="default" w:ascii="Calibri" w:hAnsi="Calibri" w:cs="Calibri"/>
          <w:sz w:val="22"/>
          <w:szCs w:val="22"/>
        </w:rPr>
        <w:t xml:space="preserve">Fargas Peñarrocha, M. (2021). Secretos y mujeres: Del género y los riesgos del conflicto en la familia moderna. </w:t>
      </w:r>
      <w:r>
        <w:rPr>
          <w:rFonts w:hint="default" w:ascii="Calibri" w:hAnsi="Calibri" w:cs="Calibri"/>
          <w:i/>
          <w:iCs/>
          <w:sz w:val="22"/>
          <w:szCs w:val="22"/>
        </w:rPr>
        <w:t>Arenal: Revista de Historia de las Mujeres</w:t>
      </w:r>
      <w:r>
        <w:rPr>
          <w:rFonts w:hint="default" w:ascii="Calibri" w:hAnsi="Calibri" w:cs="Calibri"/>
          <w:sz w:val="22"/>
          <w:szCs w:val="22"/>
        </w:rPr>
        <w:t xml:space="preserve">, </w:t>
      </w:r>
      <w:r>
        <w:rPr>
          <w:rFonts w:hint="default" w:ascii="Calibri" w:hAnsi="Calibri" w:cs="Calibri"/>
          <w:i/>
          <w:iCs/>
          <w:sz w:val="22"/>
          <w:szCs w:val="22"/>
        </w:rPr>
        <w:t>28</w:t>
      </w:r>
      <w:r>
        <w:rPr>
          <w:rFonts w:hint="default" w:ascii="Calibri" w:hAnsi="Calibri" w:cs="Calibri"/>
          <w:sz w:val="22"/>
          <w:szCs w:val="22"/>
        </w:rPr>
        <w:t xml:space="preserve">(2), 361–384. </w:t>
      </w:r>
      <w:r>
        <w:rPr>
          <w:rFonts w:hint="default" w:ascii="Calibri" w:hAnsi="Calibri" w:cs="Calibri"/>
          <w:sz w:val="22"/>
          <w:szCs w:val="22"/>
        </w:rPr>
        <w:fldChar w:fldCharType="begin"/>
      </w:r>
      <w:r>
        <w:rPr>
          <w:rFonts w:hint="default" w:ascii="Calibri" w:hAnsi="Calibri" w:cs="Calibri"/>
          <w:sz w:val="22"/>
          <w:szCs w:val="22"/>
        </w:rPr>
        <w:instrText xml:space="preserve"> HYPERLINK "https://doi.org/10.30827/arenal.v28i2.15931" \t "_blank" </w:instrText>
      </w:r>
      <w:r>
        <w:rPr>
          <w:rFonts w:hint="default" w:ascii="Calibri" w:hAnsi="Calibri" w:cs="Calibri"/>
          <w:sz w:val="22"/>
          <w:szCs w:val="22"/>
        </w:rPr>
        <w:fldChar w:fldCharType="separate"/>
      </w:r>
      <w:r>
        <w:rPr>
          <w:rStyle w:val="11"/>
          <w:rFonts w:hint="default" w:ascii="Calibri" w:hAnsi="Calibri" w:cs="Calibri"/>
          <w:sz w:val="22"/>
          <w:szCs w:val="22"/>
        </w:rPr>
        <w:t>https://doi.org/10.30827/arenal.v28i2.15931</w:t>
      </w:r>
      <w:r>
        <w:rPr>
          <w:rFonts w:hint="default" w:ascii="Calibri" w:hAnsi="Calibri" w:cs="Calibri"/>
          <w:sz w:val="22"/>
          <w:szCs w:val="22"/>
        </w:rPr>
        <w:fldChar w:fldCharType="end"/>
      </w:r>
    </w:p>
    <w:p w14:paraId="6748BB18">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Autospacing="0"/>
        <w:ind w:left="720" w:hanging="720"/>
        <w:jc w:val="both"/>
        <w:textAlignment w:val="auto"/>
        <w:rPr>
          <w:rFonts w:hint="default" w:ascii="Calibri" w:hAnsi="Calibri" w:cs="Calibri"/>
          <w:sz w:val="22"/>
          <w:szCs w:val="22"/>
        </w:rPr>
      </w:pPr>
      <w:r>
        <w:rPr>
          <w:rFonts w:hint="default" w:ascii="Calibri" w:hAnsi="Calibri" w:cs="Calibri"/>
          <w:sz w:val="22"/>
          <w:szCs w:val="22"/>
        </w:rPr>
        <w:t xml:space="preserve">Fernández, R. (2005). </w:t>
      </w:r>
      <w:r>
        <w:rPr>
          <w:rFonts w:hint="default" w:ascii="Calibri" w:hAnsi="Calibri" w:cs="Calibri"/>
          <w:i/>
          <w:iCs/>
          <w:sz w:val="22"/>
          <w:szCs w:val="22"/>
        </w:rPr>
        <w:t>Micaela Bastidas en la historia, literatura y cultura peruana: Análisis de sus reconfiguraciones discursivas</w:t>
      </w:r>
      <w:r>
        <w:rPr>
          <w:rFonts w:hint="default" w:ascii="Calibri" w:hAnsi="Calibri" w:cs="Calibri"/>
          <w:sz w:val="22"/>
          <w:szCs w:val="22"/>
        </w:rPr>
        <w:t xml:space="preserve"> [Tesis doctoral, University of Kentucky]. ProQuest Dissertations &amp; Theses Global.</w:t>
      </w:r>
    </w:p>
    <w:p w14:paraId="05F844C8">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Autospacing="0"/>
        <w:ind w:left="720" w:hanging="720"/>
        <w:jc w:val="both"/>
        <w:textAlignment w:val="auto"/>
        <w:rPr>
          <w:rFonts w:hint="default" w:ascii="Calibri" w:hAnsi="Calibri" w:cs="Calibri"/>
          <w:sz w:val="22"/>
          <w:szCs w:val="22"/>
        </w:rPr>
      </w:pPr>
      <w:r>
        <w:rPr>
          <w:rFonts w:hint="default" w:ascii="Calibri" w:hAnsi="Calibri" w:cs="Calibri"/>
          <w:sz w:val="22"/>
          <w:szCs w:val="22"/>
        </w:rPr>
        <w:t xml:space="preserve">Guerrero Oñate, P. A. (2023). Élites indígenas, liberalismo y derecho comunal a la tierra: El espacio surandino peruano durante el siglo XIX. </w:t>
      </w:r>
      <w:r>
        <w:rPr>
          <w:rFonts w:hint="default" w:ascii="Calibri" w:hAnsi="Calibri" w:cs="Calibri"/>
          <w:i/>
          <w:iCs/>
          <w:sz w:val="22"/>
          <w:szCs w:val="22"/>
        </w:rPr>
        <w:t>Historia 396</w:t>
      </w:r>
      <w:r>
        <w:rPr>
          <w:rFonts w:hint="default" w:ascii="Calibri" w:hAnsi="Calibri" w:cs="Calibri"/>
          <w:sz w:val="22"/>
          <w:szCs w:val="22"/>
        </w:rPr>
        <w:t xml:space="preserve">, </w:t>
      </w:r>
      <w:r>
        <w:rPr>
          <w:rFonts w:hint="default" w:ascii="Calibri" w:hAnsi="Calibri" w:cs="Calibri"/>
          <w:i/>
          <w:iCs/>
          <w:sz w:val="22"/>
          <w:szCs w:val="22"/>
        </w:rPr>
        <w:t>12</w:t>
      </w:r>
      <w:r>
        <w:rPr>
          <w:rFonts w:hint="default" w:ascii="Calibri" w:hAnsi="Calibri" w:cs="Calibri"/>
          <w:sz w:val="22"/>
          <w:szCs w:val="22"/>
        </w:rPr>
        <w:t xml:space="preserve">(2), 121–156. </w:t>
      </w:r>
      <w:r>
        <w:rPr>
          <w:rFonts w:hint="default" w:ascii="Calibri" w:hAnsi="Calibri" w:cs="Calibri"/>
          <w:sz w:val="22"/>
          <w:szCs w:val="22"/>
        </w:rPr>
        <w:fldChar w:fldCharType="begin"/>
      </w:r>
      <w:r>
        <w:rPr>
          <w:rFonts w:hint="default" w:ascii="Calibri" w:hAnsi="Calibri" w:cs="Calibri"/>
          <w:sz w:val="22"/>
          <w:szCs w:val="22"/>
        </w:rPr>
        <w:instrText xml:space="preserve"> HYPERLINK "https://doi.org/10.4151/07197969-vol.12-iss.2-art.657" \t "_blank" </w:instrText>
      </w:r>
      <w:r>
        <w:rPr>
          <w:rFonts w:hint="default" w:ascii="Calibri" w:hAnsi="Calibri" w:cs="Calibri"/>
          <w:sz w:val="22"/>
          <w:szCs w:val="22"/>
        </w:rPr>
        <w:fldChar w:fldCharType="separate"/>
      </w:r>
      <w:r>
        <w:rPr>
          <w:rStyle w:val="11"/>
          <w:rFonts w:hint="default" w:ascii="Calibri" w:hAnsi="Calibri" w:cs="Calibri"/>
          <w:sz w:val="22"/>
          <w:szCs w:val="22"/>
        </w:rPr>
        <w:t>https://doi.org/10.4151/07197969-vol.12-iss.2-art.657</w:t>
      </w:r>
      <w:r>
        <w:rPr>
          <w:rFonts w:hint="default" w:ascii="Calibri" w:hAnsi="Calibri" w:cs="Calibri"/>
          <w:sz w:val="22"/>
          <w:szCs w:val="22"/>
        </w:rPr>
        <w:fldChar w:fldCharType="end"/>
      </w:r>
    </w:p>
    <w:p w14:paraId="2D9EA463">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Autospacing="0"/>
        <w:ind w:left="720" w:hanging="720"/>
        <w:jc w:val="both"/>
        <w:textAlignment w:val="auto"/>
        <w:rPr>
          <w:rFonts w:hint="default" w:ascii="Calibri" w:hAnsi="Calibri" w:cs="Calibri"/>
          <w:sz w:val="22"/>
          <w:szCs w:val="22"/>
        </w:rPr>
      </w:pPr>
      <w:r>
        <w:rPr>
          <w:rFonts w:hint="default" w:ascii="Calibri" w:hAnsi="Calibri" w:cs="Calibri"/>
          <w:sz w:val="22"/>
          <w:szCs w:val="22"/>
        </w:rPr>
        <w:t xml:space="preserve">Gutiérrez Escudero, A. (2006). Tupac Amaru II, sol vencido: ¿El primer precursor de la emancipación? </w:t>
      </w:r>
      <w:r>
        <w:rPr>
          <w:rFonts w:hint="default" w:ascii="Calibri" w:hAnsi="Calibri" w:cs="Calibri"/>
          <w:i/>
          <w:iCs/>
          <w:sz w:val="22"/>
          <w:szCs w:val="22"/>
        </w:rPr>
        <w:t>Araucaria</w:t>
      </w:r>
      <w:r>
        <w:rPr>
          <w:rFonts w:hint="default" w:ascii="Calibri" w:hAnsi="Calibri" w:cs="Calibri"/>
          <w:sz w:val="22"/>
          <w:szCs w:val="22"/>
        </w:rPr>
        <w:t xml:space="preserve">, </w:t>
      </w:r>
      <w:r>
        <w:rPr>
          <w:rFonts w:hint="default" w:ascii="Calibri" w:hAnsi="Calibri" w:cs="Calibri"/>
          <w:i/>
          <w:iCs/>
          <w:sz w:val="22"/>
          <w:szCs w:val="22"/>
        </w:rPr>
        <w:t>1</w:t>
      </w:r>
      <w:r>
        <w:rPr>
          <w:rFonts w:hint="default" w:ascii="Calibri" w:hAnsi="Calibri" w:cs="Calibri"/>
          <w:sz w:val="22"/>
          <w:szCs w:val="22"/>
        </w:rPr>
        <w:t xml:space="preserve">(8), 205–223. </w:t>
      </w:r>
      <w:r>
        <w:rPr>
          <w:rFonts w:hint="default" w:ascii="Calibri" w:hAnsi="Calibri" w:cs="Calibri"/>
          <w:sz w:val="22"/>
          <w:szCs w:val="22"/>
        </w:rPr>
        <w:fldChar w:fldCharType="begin"/>
      </w:r>
      <w:r>
        <w:rPr>
          <w:rFonts w:hint="default" w:ascii="Calibri" w:hAnsi="Calibri" w:cs="Calibri"/>
          <w:sz w:val="22"/>
          <w:szCs w:val="22"/>
        </w:rPr>
        <w:instrText xml:space="preserve"> HYPERLINK "https://revistascientificas.us.es/index.php/araucaria/article/view/1123" \t "_blank" </w:instrText>
      </w:r>
      <w:r>
        <w:rPr>
          <w:rFonts w:hint="default" w:ascii="Calibri" w:hAnsi="Calibri" w:cs="Calibri"/>
          <w:sz w:val="22"/>
          <w:szCs w:val="22"/>
        </w:rPr>
        <w:fldChar w:fldCharType="separate"/>
      </w:r>
      <w:r>
        <w:rPr>
          <w:rStyle w:val="11"/>
          <w:rFonts w:hint="default" w:ascii="Calibri" w:hAnsi="Calibri" w:cs="Calibri"/>
          <w:sz w:val="22"/>
          <w:szCs w:val="22"/>
        </w:rPr>
        <w:t>https://revistascientificas.us.es/index.php/araucaria/article/view/1123</w:t>
      </w:r>
      <w:r>
        <w:rPr>
          <w:rFonts w:hint="default" w:ascii="Calibri" w:hAnsi="Calibri" w:cs="Calibri"/>
          <w:sz w:val="22"/>
          <w:szCs w:val="22"/>
        </w:rPr>
        <w:fldChar w:fldCharType="end"/>
      </w:r>
    </w:p>
    <w:p w14:paraId="6673AD0E">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Autospacing="0"/>
        <w:ind w:left="720" w:hanging="720"/>
        <w:jc w:val="both"/>
        <w:textAlignment w:val="auto"/>
        <w:rPr>
          <w:rFonts w:hint="default" w:ascii="Calibri" w:hAnsi="Calibri" w:cs="Calibri"/>
          <w:sz w:val="22"/>
          <w:szCs w:val="22"/>
        </w:rPr>
      </w:pPr>
      <w:r>
        <w:rPr>
          <w:rFonts w:hint="default" w:ascii="Calibri" w:hAnsi="Calibri" w:cs="Calibri"/>
          <w:sz w:val="22"/>
          <w:szCs w:val="22"/>
        </w:rPr>
        <w:t xml:space="preserve">Huerta, S. E. (2021). “They will live without law or religion”: Cádiz, indigenous people, and political change in the Viceroyalty of Peru, 1812–1820. </w:t>
      </w:r>
      <w:r>
        <w:rPr>
          <w:rFonts w:hint="default" w:ascii="Calibri" w:hAnsi="Calibri" w:cs="Calibri"/>
          <w:i/>
          <w:iCs/>
          <w:sz w:val="22"/>
          <w:szCs w:val="22"/>
        </w:rPr>
        <w:t>Hispanic American Historical Review</w:t>
      </w:r>
      <w:r>
        <w:rPr>
          <w:rFonts w:hint="default" w:ascii="Calibri" w:hAnsi="Calibri" w:cs="Calibri"/>
          <w:sz w:val="22"/>
          <w:szCs w:val="22"/>
        </w:rPr>
        <w:t xml:space="preserve">, </w:t>
      </w:r>
      <w:r>
        <w:rPr>
          <w:rFonts w:hint="default" w:ascii="Calibri" w:hAnsi="Calibri" w:cs="Calibri"/>
          <w:i/>
          <w:iCs/>
          <w:sz w:val="22"/>
          <w:szCs w:val="22"/>
        </w:rPr>
        <w:t>101</w:t>
      </w:r>
      <w:r>
        <w:rPr>
          <w:rFonts w:hint="default" w:ascii="Calibri" w:hAnsi="Calibri" w:cs="Calibri"/>
          <w:sz w:val="22"/>
          <w:szCs w:val="22"/>
        </w:rPr>
        <w:t xml:space="preserve">(2), 199–230. </w:t>
      </w:r>
      <w:r>
        <w:rPr>
          <w:rFonts w:hint="default" w:ascii="Calibri" w:hAnsi="Calibri" w:cs="Calibri"/>
          <w:sz w:val="22"/>
          <w:szCs w:val="22"/>
        </w:rPr>
        <w:fldChar w:fldCharType="begin"/>
      </w:r>
      <w:r>
        <w:rPr>
          <w:rFonts w:hint="default" w:ascii="Calibri" w:hAnsi="Calibri" w:cs="Calibri"/>
          <w:sz w:val="22"/>
          <w:szCs w:val="22"/>
        </w:rPr>
        <w:instrText xml:space="preserve"> HYPERLINK "https://doi.org/10.1215/00182168-8897464" \t "_blank" </w:instrText>
      </w:r>
      <w:r>
        <w:rPr>
          <w:rFonts w:hint="default" w:ascii="Calibri" w:hAnsi="Calibri" w:cs="Calibri"/>
          <w:sz w:val="22"/>
          <w:szCs w:val="22"/>
        </w:rPr>
        <w:fldChar w:fldCharType="separate"/>
      </w:r>
      <w:r>
        <w:rPr>
          <w:rStyle w:val="11"/>
          <w:rFonts w:hint="default" w:ascii="Calibri" w:hAnsi="Calibri" w:cs="Calibri"/>
          <w:sz w:val="22"/>
          <w:szCs w:val="22"/>
        </w:rPr>
        <w:t>https://doi.org/10.1215/00182168-8897464</w:t>
      </w:r>
      <w:r>
        <w:rPr>
          <w:rFonts w:hint="default" w:ascii="Calibri" w:hAnsi="Calibri" w:cs="Calibri"/>
          <w:sz w:val="22"/>
          <w:szCs w:val="22"/>
        </w:rPr>
        <w:fldChar w:fldCharType="end"/>
      </w:r>
    </w:p>
    <w:p w14:paraId="352DB469">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Autospacing="0"/>
        <w:ind w:left="720" w:hanging="720"/>
        <w:jc w:val="both"/>
        <w:textAlignment w:val="auto"/>
        <w:rPr>
          <w:rFonts w:hint="default" w:ascii="Calibri" w:hAnsi="Calibri" w:cs="Calibri"/>
          <w:sz w:val="22"/>
          <w:szCs w:val="22"/>
        </w:rPr>
      </w:pPr>
      <w:r>
        <w:rPr>
          <w:rFonts w:hint="default" w:ascii="Calibri" w:hAnsi="Calibri" w:cs="Calibri"/>
          <w:sz w:val="22"/>
          <w:szCs w:val="22"/>
        </w:rPr>
        <w:t xml:space="preserve">Jalal-Kermele, N. (2011). La mort de Tupac Amaru, l’ultime cataclysme? </w:t>
      </w:r>
      <w:r>
        <w:rPr>
          <w:rFonts w:hint="default" w:ascii="Calibri" w:hAnsi="Calibri" w:cs="Calibri"/>
          <w:i/>
          <w:iCs/>
          <w:sz w:val="22"/>
          <w:szCs w:val="22"/>
        </w:rPr>
        <w:t>E-Spania: Revue électronique d'études hispaniques médiévales</w:t>
      </w:r>
      <w:r>
        <w:rPr>
          <w:rFonts w:hint="default" w:ascii="Calibri" w:hAnsi="Calibri" w:cs="Calibri"/>
          <w:sz w:val="22"/>
          <w:szCs w:val="22"/>
        </w:rPr>
        <w:t xml:space="preserve">, (12). </w:t>
      </w:r>
      <w:r>
        <w:rPr>
          <w:rFonts w:hint="default" w:ascii="Calibri" w:hAnsi="Calibri" w:cs="Calibri"/>
          <w:sz w:val="22"/>
          <w:szCs w:val="22"/>
        </w:rPr>
        <w:fldChar w:fldCharType="begin"/>
      </w:r>
      <w:r>
        <w:rPr>
          <w:rFonts w:hint="default" w:ascii="Calibri" w:hAnsi="Calibri" w:cs="Calibri"/>
          <w:sz w:val="22"/>
          <w:szCs w:val="22"/>
        </w:rPr>
        <w:instrText xml:space="preserve"> HYPERLINK "https://journals.openedition.org/e-spania/21440" \t "_blank" </w:instrText>
      </w:r>
      <w:r>
        <w:rPr>
          <w:rFonts w:hint="default" w:ascii="Calibri" w:hAnsi="Calibri" w:cs="Calibri"/>
          <w:sz w:val="22"/>
          <w:szCs w:val="22"/>
        </w:rPr>
        <w:fldChar w:fldCharType="separate"/>
      </w:r>
      <w:r>
        <w:rPr>
          <w:rStyle w:val="11"/>
          <w:rFonts w:hint="default" w:ascii="Calibri" w:hAnsi="Calibri" w:cs="Calibri"/>
          <w:sz w:val="22"/>
          <w:szCs w:val="22"/>
        </w:rPr>
        <w:t>https://journals.openedition.org/e-spania/21440</w:t>
      </w:r>
      <w:r>
        <w:rPr>
          <w:rFonts w:hint="default" w:ascii="Calibri" w:hAnsi="Calibri" w:cs="Calibri"/>
          <w:sz w:val="22"/>
          <w:szCs w:val="22"/>
        </w:rPr>
        <w:fldChar w:fldCharType="end"/>
      </w:r>
    </w:p>
    <w:p w14:paraId="0D3073A3">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Autospacing="0"/>
        <w:ind w:left="720" w:hanging="720"/>
        <w:jc w:val="both"/>
        <w:textAlignment w:val="auto"/>
        <w:rPr>
          <w:rFonts w:hint="default" w:ascii="Calibri" w:hAnsi="Calibri" w:cs="Calibri"/>
          <w:sz w:val="22"/>
          <w:szCs w:val="22"/>
        </w:rPr>
      </w:pPr>
      <w:r>
        <w:rPr>
          <w:rFonts w:hint="default" w:ascii="Calibri" w:hAnsi="Calibri" w:cs="Calibri"/>
          <w:sz w:val="22"/>
          <w:szCs w:val="22"/>
        </w:rPr>
        <w:t xml:space="preserve">Kanashiro, A. (2021). Micaela Bastidas: Apuntes sobre su conflicto de roles. </w:t>
      </w:r>
      <w:r>
        <w:rPr>
          <w:rFonts w:hint="default" w:ascii="Calibri" w:hAnsi="Calibri" w:cs="Calibri"/>
          <w:i/>
          <w:iCs/>
          <w:sz w:val="22"/>
          <w:szCs w:val="22"/>
        </w:rPr>
        <w:t>Revista Revoluciones</w:t>
      </w:r>
      <w:r>
        <w:rPr>
          <w:rFonts w:hint="default" w:ascii="Calibri" w:hAnsi="Calibri" w:cs="Calibri"/>
          <w:sz w:val="22"/>
          <w:szCs w:val="22"/>
        </w:rPr>
        <w:t xml:space="preserve">, </w:t>
      </w:r>
      <w:r>
        <w:rPr>
          <w:rFonts w:hint="default" w:ascii="Calibri" w:hAnsi="Calibri" w:cs="Calibri"/>
          <w:i/>
          <w:iCs/>
          <w:sz w:val="22"/>
          <w:szCs w:val="22"/>
        </w:rPr>
        <w:t>3</w:t>
      </w:r>
      <w:r>
        <w:rPr>
          <w:rFonts w:hint="default" w:ascii="Calibri" w:hAnsi="Calibri" w:cs="Calibri"/>
          <w:sz w:val="22"/>
          <w:szCs w:val="22"/>
        </w:rPr>
        <w:t xml:space="preserve">(5), 88–105. </w:t>
      </w:r>
      <w:r>
        <w:rPr>
          <w:rFonts w:hint="default" w:ascii="Calibri" w:hAnsi="Calibri" w:cs="Calibri"/>
          <w:sz w:val="22"/>
          <w:szCs w:val="22"/>
        </w:rPr>
        <w:fldChar w:fldCharType="begin"/>
      </w:r>
      <w:r>
        <w:rPr>
          <w:rFonts w:hint="default" w:ascii="Calibri" w:hAnsi="Calibri" w:cs="Calibri"/>
          <w:sz w:val="22"/>
          <w:szCs w:val="22"/>
        </w:rPr>
        <w:instrText xml:space="preserve"> HYPERLINK "https://doi.org/10.35622/j.rr.2021.05.007" \t "_blank" </w:instrText>
      </w:r>
      <w:r>
        <w:rPr>
          <w:rFonts w:hint="default" w:ascii="Calibri" w:hAnsi="Calibri" w:cs="Calibri"/>
          <w:sz w:val="22"/>
          <w:szCs w:val="22"/>
        </w:rPr>
        <w:fldChar w:fldCharType="separate"/>
      </w:r>
      <w:r>
        <w:rPr>
          <w:rStyle w:val="11"/>
          <w:rFonts w:hint="default" w:ascii="Calibri" w:hAnsi="Calibri" w:cs="Calibri"/>
          <w:sz w:val="22"/>
          <w:szCs w:val="22"/>
        </w:rPr>
        <w:t>https://doi.org/10.35622/j.rr.2021.05.007</w:t>
      </w:r>
      <w:r>
        <w:rPr>
          <w:rFonts w:hint="default" w:ascii="Calibri" w:hAnsi="Calibri" w:cs="Calibri"/>
          <w:sz w:val="22"/>
          <w:szCs w:val="22"/>
        </w:rPr>
        <w:fldChar w:fldCharType="end"/>
      </w:r>
    </w:p>
    <w:p w14:paraId="293605E7">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Autospacing="0"/>
        <w:ind w:left="720" w:hanging="720"/>
        <w:jc w:val="both"/>
        <w:textAlignment w:val="auto"/>
        <w:rPr>
          <w:rFonts w:hint="default" w:ascii="Calibri" w:hAnsi="Calibri" w:cs="Calibri"/>
          <w:sz w:val="22"/>
          <w:szCs w:val="22"/>
        </w:rPr>
      </w:pPr>
      <w:r>
        <w:rPr>
          <w:rFonts w:hint="default" w:ascii="Calibri" w:hAnsi="Calibri" w:cs="Calibri"/>
          <w:sz w:val="22"/>
          <w:szCs w:val="22"/>
        </w:rPr>
        <w:t xml:space="preserve">O’Phelan Godoy, S. (2021). La gran rebelión de Túpac Amaru II y la temprana independencia del Perú: Coincidencias, conexiones, contrastes. </w:t>
      </w:r>
      <w:r>
        <w:rPr>
          <w:rFonts w:hint="default" w:ascii="Calibri" w:hAnsi="Calibri" w:cs="Calibri"/>
          <w:i/>
          <w:iCs/>
          <w:sz w:val="22"/>
          <w:szCs w:val="22"/>
        </w:rPr>
        <w:t>Revista del Instituto Riva-Agüero</w:t>
      </w:r>
      <w:r>
        <w:rPr>
          <w:rFonts w:hint="default" w:ascii="Calibri" w:hAnsi="Calibri" w:cs="Calibri"/>
          <w:sz w:val="22"/>
          <w:szCs w:val="22"/>
        </w:rPr>
        <w:t xml:space="preserve">, </w:t>
      </w:r>
      <w:r>
        <w:rPr>
          <w:rFonts w:hint="default" w:ascii="Calibri" w:hAnsi="Calibri" w:cs="Calibri"/>
          <w:i/>
          <w:iCs/>
          <w:sz w:val="22"/>
          <w:szCs w:val="22"/>
        </w:rPr>
        <w:t>6</w:t>
      </w:r>
      <w:r>
        <w:rPr>
          <w:rFonts w:hint="default" w:ascii="Calibri" w:hAnsi="Calibri" w:cs="Calibri"/>
          <w:sz w:val="22"/>
          <w:szCs w:val="22"/>
        </w:rPr>
        <w:t xml:space="preserve">(1), 17–80. </w:t>
      </w:r>
      <w:r>
        <w:rPr>
          <w:rFonts w:hint="default" w:ascii="Calibri" w:hAnsi="Calibri" w:cs="Calibri"/>
          <w:sz w:val="22"/>
          <w:szCs w:val="22"/>
        </w:rPr>
        <w:fldChar w:fldCharType="begin"/>
      </w:r>
      <w:r>
        <w:rPr>
          <w:rFonts w:hint="default" w:ascii="Calibri" w:hAnsi="Calibri" w:cs="Calibri"/>
          <w:sz w:val="22"/>
          <w:szCs w:val="22"/>
        </w:rPr>
        <w:instrText xml:space="preserve"> HYPERLINK "https://doi.org/10.18800/revistaira.202101.002" \t "_blank" </w:instrText>
      </w:r>
      <w:r>
        <w:rPr>
          <w:rFonts w:hint="default" w:ascii="Calibri" w:hAnsi="Calibri" w:cs="Calibri"/>
          <w:sz w:val="22"/>
          <w:szCs w:val="22"/>
        </w:rPr>
        <w:fldChar w:fldCharType="separate"/>
      </w:r>
      <w:r>
        <w:rPr>
          <w:rStyle w:val="11"/>
          <w:rFonts w:hint="default" w:ascii="Calibri" w:hAnsi="Calibri" w:cs="Calibri"/>
          <w:sz w:val="22"/>
          <w:szCs w:val="22"/>
        </w:rPr>
        <w:t>https://doi.org/10.18800/revistaira.202101.002</w:t>
      </w:r>
      <w:r>
        <w:rPr>
          <w:rFonts w:hint="default" w:ascii="Calibri" w:hAnsi="Calibri" w:cs="Calibri"/>
          <w:sz w:val="22"/>
          <w:szCs w:val="22"/>
        </w:rPr>
        <w:fldChar w:fldCharType="end"/>
      </w:r>
    </w:p>
    <w:p w14:paraId="79F3DED4">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Autospacing="0"/>
        <w:ind w:left="720" w:hanging="720"/>
        <w:jc w:val="both"/>
        <w:textAlignment w:val="auto"/>
        <w:rPr>
          <w:rFonts w:hint="default" w:ascii="Calibri" w:hAnsi="Calibri" w:cs="Calibri"/>
          <w:sz w:val="22"/>
          <w:szCs w:val="22"/>
        </w:rPr>
      </w:pPr>
      <w:r>
        <w:rPr>
          <w:rFonts w:hint="default" w:ascii="Calibri" w:hAnsi="Calibri" w:cs="Calibri"/>
          <w:sz w:val="22"/>
          <w:szCs w:val="22"/>
        </w:rPr>
        <w:t xml:space="preserve">O'Phelan, S. (1979). La rebelión de Túpac Amaru: Organización interna, dirigencia y alianzas. </w:t>
      </w:r>
      <w:r>
        <w:rPr>
          <w:rFonts w:hint="default" w:ascii="Calibri" w:hAnsi="Calibri" w:cs="Calibri"/>
          <w:i/>
          <w:iCs/>
          <w:sz w:val="22"/>
          <w:szCs w:val="22"/>
        </w:rPr>
        <w:t>Histórica</w:t>
      </w:r>
      <w:r>
        <w:rPr>
          <w:rFonts w:hint="default" w:ascii="Calibri" w:hAnsi="Calibri" w:cs="Calibri"/>
          <w:sz w:val="22"/>
          <w:szCs w:val="22"/>
        </w:rPr>
        <w:t xml:space="preserve">, </w:t>
      </w:r>
      <w:r>
        <w:rPr>
          <w:rFonts w:hint="default" w:ascii="Calibri" w:hAnsi="Calibri" w:cs="Calibri"/>
          <w:i/>
          <w:iCs/>
          <w:sz w:val="22"/>
          <w:szCs w:val="22"/>
        </w:rPr>
        <w:t>3</w:t>
      </w:r>
      <w:r>
        <w:rPr>
          <w:rFonts w:hint="default" w:ascii="Calibri" w:hAnsi="Calibri" w:cs="Calibri"/>
          <w:sz w:val="22"/>
          <w:szCs w:val="22"/>
        </w:rPr>
        <w:t xml:space="preserve">(2), 89–121. </w:t>
      </w:r>
      <w:r>
        <w:rPr>
          <w:rFonts w:hint="default" w:ascii="Calibri" w:hAnsi="Calibri" w:cs="Calibri"/>
          <w:sz w:val="22"/>
          <w:szCs w:val="22"/>
        </w:rPr>
        <w:fldChar w:fldCharType="begin"/>
      </w:r>
      <w:r>
        <w:rPr>
          <w:rFonts w:hint="default" w:ascii="Calibri" w:hAnsi="Calibri" w:cs="Calibri"/>
          <w:sz w:val="22"/>
          <w:szCs w:val="22"/>
        </w:rPr>
        <w:instrText xml:space="preserve"> HYPERLINK "https://doi.org/10.18800/historica.197902.005" \t "_blank" </w:instrText>
      </w:r>
      <w:r>
        <w:rPr>
          <w:rFonts w:hint="default" w:ascii="Calibri" w:hAnsi="Calibri" w:cs="Calibri"/>
          <w:sz w:val="22"/>
          <w:szCs w:val="22"/>
        </w:rPr>
        <w:fldChar w:fldCharType="separate"/>
      </w:r>
      <w:r>
        <w:rPr>
          <w:rStyle w:val="11"/>
          <w:rFonts w:hint="default" w:ascii="Calibri" w:hAnsi="Calibri" w:cs="Calibri"/>
          <w:sz w:val="22"/>
          <w:szCs w:val="22"/>
        </w:rPr>
        <w:t>https://doi.org/10.18800/historica.197902.005</w:t>
      </w:r>
      <w:r>
        <w:rPr>
          <w:rFonts w:hint="default" w:ascii="Calibri" w:hAnsi="Calibri" w:cs="Calibri"/>
          <w:sz w:val="22"/>
          <w:szCs w:val="22"/>
        </w:rPr>
        <w:fldChar w:fldCharType="end"/>
      </w:r>
    </w:p>
    <w:p w14:paraId="6FB830D7">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Autospacing="0"/>
        <w:ind w:left="720" w:hanging="720"/>
        <w:jc w:val="both"/>
        <w:textAlignment w:val="auto"/>
        <w:rPr>
          <w:rFonts w:hint="default" w:ascii="Calibri" w:hAnsi="Calibri" w:cs="Calibri"/>
          <w:sz w:val="22"/>
          <w:szCs w:val="22"/>
        </w:rPr>
      </w:pPr>
      <w:r>
        <w:rPr>
          <w:rFonts w:hint="default" w:ascii="Calibri" w:hAnsi="Calibri" w:cs="Calibri"/>
          <w:sz w:val="22"/>
          <w:szCs w:val="22"/>
        </w:rPr>
        <w:t xml:space="preserve">Ormeño, C. (2011). El enmascaramiento de la rebelión de Tupac Amaru II. </w:t>
      </w:r>
      <w:r>
        <w:rPr>
          <w:rFonts w:hint="default" w:ascii="Calibri" w:hAnsi="Calibri" w:cs="Calibri"/>
          <w:i/>
          <w:iCs/>
          <w:sz w:val="22"/>
          <w:szCs w:val="22"/>
        </w:rPr>
        <w:t>Sociedad y Equidad: Revista de Humanidades, Ciencias Sociales, Artes y Comunicaciones</w:t>
      </w:r>
      <w:r>
        <w:rPr>
          <w:rFonts w:hint="default" w:ascii="Calibri" w:hAnsi="Calibri" w:cs="Calibri"/>
          <w:sz w:val="22"/>
          <w:szCs w:val="22"/>
        </w:rPr>
        <w:t>, (2), 266–281.</w:t>
      </w:r>
    </w:p>
    <w:p w14:paraId="65AFA66A">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Autospacing="0"/>
        <w:ind w:left="720" w:hanging="720"/>
        <w:jc w:val="both"/>
        <w:textAlignment w:val="auto"/>
        <w:rPr>
          <w:rFonts w:hint="default" w:ascii="Calibri" w:hAnsi="Calibri" w:cs="Calibri"/>
          <w:sz w:val="22"/>
          <w:szCs w:val="22"/>
        </w:rPr>
      </w:pPr>
      <w:r>
        <w:rPr>
          <w:rFonts w:hint="default" w:ascii="Calibri" w:hAnsi="Calibri" w:cs="Calibri"/>
          <w:sz w:val="22"/>
          <w:szCs w:val="22"/>
        </w:rPr>
        <w:t xml:space="preserve">Parodi-Revoredo, D. A., &amp; Uzcátegui-Pacheco, R. A. (2025). La reacción colonial ante la rebelión de Túpac Amaru II en los manuales escolares de Perú (2019-2023). </w:t>
      </w:r>
      <w:r>
        <w:rPr>
          <w:rFonts w:hint="default" w:ascii="Calibri" w:hAnsi="Calibri" w:cs="Calibri"/>
          <w:i/>
          <w:iCs/>
          <w:sz w:val="22"/>
          <w:szCs w:val="22"/>
        </w:rPr>
        <w:t>Izquierdas</w:t>
      </w:r>
      <w:r>
        <w:rPr>
          <w:rFonts w:hint="default" w:ascii="Calibri" w:hAnsi="Calibri" w:cs="Calibri"/>
          <w:sz w:val="22"/>
          <w:szCs w:val="22"/>
        </w:rPr>
        <w:t xml:space="preserve">, (54). </w:t>
      </w:r>
      <w:r>
        <w:rPr>
          <w:rFonts w:hint="default" w:ascii="Calibri" w:hAnsi="Calibri" w:cs="Calibri"/>
          <w:sz w:val="22"/>
          <w:szCs w:val="22"/>
        </w:rPr>
        <w:fldChar w:fldCharType="begin"/>
      </w:r>
      <w:r>
        <w:rPr>
          <w:rFonts w:hint="default" w:ascii="Calibri" w:hAnsi="Calibri" w:cs="Calibri"/>
          <w:sz w:val="22"/>
          <w:szCs w:val="22"/>
        </w:rPr>
        <w:instrText xml:space="preserve"> HYPERLINK "https://doi.org/10.4067/s0718-50492025000100209" \t "_blank" </w:instrText>
      </w:r>
      <w:r>
        <w:rPr>
          <w:rFonts w:hint="default" w:ascii="Calibri" w:hAnsi="Calibri" w:cs="Calibri"/>
          <w:sz w:val="22"/>
          <w:szCs w:val="22"/>
        </w:rPr>
        <w:fldChar w:fldCharType="separate"/>
      </w:r>
      <w:r>
        <w:rPr>
          <w:rStyle w:val="11"/>
          <w:rFonts w:hint="default" w:ascii="Calibri" w:hAnsi="Calibri" w:cs="Calibri"/>
          <w:sz w:val="22"/>
          <w:szCs w:val="22"/>
        </w:rPr>
        <w:t>https://doi.org/10.4067/s0718-50492025000100209</w:t>
      </w:r>
      <w:r>
        <w:rPr>
          <w:rFonts w:hint="default" w:ascii="Calibri" w:hAnsi="Calibri" w:cs="Calibri"/>
          <w:sz w:val="22"/>
          <w:szCs w:val="22"/>
        </w:rPr>
        <w:fldChar w:fldCharType="end"/>
      </w:r>
    </w:p>
    <w:p w14:paraId="47674C96">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Autospacing="0"/>
        <w:ind w:left="720" w:hanging="720"/>
        <w:jc w:val="both"/>
        <w:textAlignment w:val="auto"/>
        <w:rPr>
          <w:rFonts w:hint="default" w:ascii="Calibri" w:hAnsi="Calibri" w:cs="Calibri"/>
          <w:sz w:val="22"/>
          <w:szCs w:val="22"/>
        </w:rPr>
      </w:pPr>
      <w:r>
        <w:rPr>
          <w:rFonts w:hint="default" w:ascii="Calibri" w:hAnsi="Calibri" w:cs="Calibri"/>
          <w:sz w:val="22"/>
          <w:szCs w:val="22"/>
        </w:rPr>
        <w:t xml:space="preserve">Parolo, M. P. (2017). La rebelión de Túpac Amaru. </w:t>
      </w:r>
      <w:r>
        <w:rPr>
          <w:rFonts w:hint="default" w:ascii="Calibri" w:hAnsi="Calibri" w:cs="Calibri"/>
          <w:i/>
          <w:iCs/>
          <w:sz w:val="22"/>
          <w:szCs w:val="22"/>
        </w:rPr>
        <w:t>Travesía</w:t>
      </w:r>
      <w:r>
        <w:rPr>
          <w:rFonts w:hint="default" w:ascii="Calibri" w:hAnsi="Calibri" w:cs="Calibri"/>
          <w:sz w:val="22"/>
          <w:szCs w:val="22"/>
        </w:rPr>
        <w:t xml:space="preserve">, </w:t>
      </w:r>
      <w:r>
        <w:rPr>
          <w:rFonts w:hint="default" w:ascii="Calibri" w:hAnsi="Calibri" w:cs="Calibri"/>
          <w:i/>
          <w:iCs/>
          <w:sz w:val="22"/>
          <w:szCs w:val="22"/>
        </w:rPr>
        <w:t>19</w:t>
      </w:r>
      <w:r>
        <w:rPr>
          <w:rFonts w:hint="default" w:ascii="Calibri" w:hAnsi="Calibri" w:cs="Calibri"/>
          <w:sz w:val="22"/>
          <w:szCs w:val="22"/>
        </w:rPr>
        <w:t>(2), 93–94.</w:t>
      </w:r>
    </w:p>
    <w:p w14:paraId="52DED940">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Autospacing="0"/>
        <w:ind w:left="720" w:hanging="720"/>
        <w:jc w:val="both"/>
        <w:textAlignment w:val="auto"/>
        <w:rPr>
          <w:rFonts w:hint="default" w:ascii="Calibri" w:hAnsi="Calibri" w:cs="Calibri"/>
          <w:sz w:val="22"/>
          <w:szCs w:val="22"/>
        </w:rPr>
      </w:pPr>
      <w:r>
        <w:rPr>
          <w:rFonts w:hint="default" w:ascii="Calibri" w:hAnsi="Calibri" w:cs="Calibri"/>
          <w:sz w:val="22"/>
          <w:szCs w:val="22"/>
        </w:rPr>
        <w:t xml:space="preserve">Pita Pico, R. (2019). Resistencia y reivindicaciones de las mujeres en las guerras de independencia de Colombia: Una aproximación a través de sus cartas y reclamaciones. </w:t>
      </w:r>
      <w:r>
        <w:rPr>
          <w:rFonts w:hint="default" w:ascii="Calibri" w:hAnsi="Calibri" w:cs="Calibri"/>
          <w:i/>
          <w:iCs/>
          <w:sz w:val="22"/>
          <w:szCs w:val="22"/>
        </w:rPr>
        <w:t>Arenal: Revista de Historia de las Mujeres</w:t>
      </w:r>
      <w:r>
        <w:rPr>
          <w:rFonts w:hint="default" w:ascii="Calibri" w:hAnsi="Calibri" w:cs="Calibri"/>
          <w:sz w:val="22"/>
          <w:szCs w:val="22"/>
        </w:rPr>
        <w:t xml:space="preserve">, </w:t>
      </w:r>
      <w:r>
        <w:rPr>
          <w:rFonts w:hint="default" w:ascii="Calibri" w:hAnsi="Calibri" w:cs="Calibri"/>
          <w:i/>
          <w:iCs/>
          <w:sz w:val="22"/>
          <w:szCs w:val="22"/>
        </w:rPr>
        <w:t>26</w:t>
      </w:r>
      <w:r>
        <w:rPr>
          <w:rFonts w:hint="default" w:ascii="Calibri" w:hAnsi="Calibri" w:cs="Calibri"/>
          <w:sz w:val="22"/>
          <w:szCs w:val="22"/>
        </w:rPr>
        <w:t xml:space="preserve">(2), 609–630. </w:t>
      </w:r>
      <w:r>
        <w:rPr>
          <w:rFonts w:hint="default" w:ascii="Calibri" w:hAnsi="Calibri" w:cs="Calibri"/>
          <w:sz w:val="22"/>
          <w:szCs w:val="22"/>
        </w:rPr>
        <w:fldChar w:fldCharType="begin"/>
      </w:r>
      <w:r>
        <w:rPr>
          <w:rFonts w:hint="default" w:ascii="Calibri" w:hAnsi="Calibri" w:cs="Calibri"/>
          <w:sz w:val="22"/>
          <w:szCs w:val="22"/>
        </w:rPr>
        <w:instrText xml:space="preserve"> HYPERLINK "https://doi.org/10.30827/arenal.v26i2.7857" \t "_blank" </w:instrText>
      </w:r>
      <w:r>
        <w:rPr>
          <w:rFonts w:hint="default" w:ascii="Calibri" w:hAnsi="Calibri" w:cs="Calibri"/>
          <w:sz w:val="22"/>
          <w:szCs w:val="22"/>
        </w:rPr>
        <w:fldChar w:fldCharType="separate"/>
      </w:r>
      <w:r>
        <w:rPr>
          <w:rStyle w:val="11"/>
          <w:rFonts w:hint="default" w:ascii="Calibri" w:hAnsi="Calibri" w:cs="Calibri"/>
          <w:sz w:val="22"/>
          <w:szCs w:val="22"/>
        </w:rPr>
        <w:t>https://doi.org/10.30827/arenal.v26i2.7857</w:t>
      </w:r>
      <w:r>
        <w:rPr>
          <w:rFonts w:hint="default" w:ascii="Calibri" w:hAnsi="Calibri" w:cs="Calibri"/>
          <w:sz w:val="22"/>
          <w:szCs w:val="22"/>
        </w:rPr>
        <w:fldChar w:fldCharType="end"/>
      </w:r>
    </w:p>
    <w:p w14:paraId="25C8FA03">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Autospacing="0"/>
        <w:ind w:left="720" w:hanging="720"/>
        <w:jc w:val="both"/>
        <w:textAlignment w:val="auto"/>
        <w:rPr>
          <w:rFonts w:hint="default" w:ascii="Calibri" w:hAnsi="Calibri" w:cs="Calibri"/>
          <w:sz w:val="22"/>
          <w:szCs w:val="22"/>
        </w:rPr>
      </w:pPr>
      <w:r>
        <w:rPr>
          <w:rFonts w:hint="default" w:ascii="Calibri" w:hAnsi="Calibri" w:cs="Calibri"/>
          <w:sz w:val="22"/>
          <w:szCs w:val="22"/>
        </w:rPr>
        <w:t xml:space="preserve">Quichua, D. (2021). “La gente bruta y los pobres miserables” también lucharon: Los indígenas de Huamanga en la Independencia. </w:t>
      </w:r>
      <w:r>
        <w:rPr>
          <w:rFonts w:hint="default" w:ascii="Calibri" w:hAnsi="Calibri" w:cs="Calibri"/>
          <w:i/>
          <w:iCs/>
          <w:sz w:val="22"/>
          <w:szCs w:val="22"/>
        </w:rPr>
        <w:t>Revista Revoluciones</w:t>
      </w:r>
      <w:r>
        <w:rPr>
          <w:rFonts w:hint="default" w:ascii="Calibri" w:hAnsi="Calibri" w:cs="Calibri"/>
          <w:sz w:val="22"/>
          <w:szCs w:val="22"/>
        </w:rPr>
        <w:t xml:space="preserve">, </w:t>
      </w:r>
      <w:r>
        <w:rPr>
          <w:rFonts w:hint="default" w:ascii="Calibri" w:hAnsi="Calibri" w:cs="Calibri"/>
          <w:i/>
          <w:iCs/>
          <w:sz w:val="22"/>
          <w:szCs w:val="22"/>
        </w:rPr>
        <w:t>3</w:t>
      </w:r>
      <w:r>
        <w:rPr>
          <w:rFonts w:hint="default" w:ascii="Calibri" w:hAnsi="Calibri" w:cs="Calibri"/>
          <w:sz w:val="22"/>
          <w:szCs w:val="22"/>
        </w:rPr>
        <w:t xml:space="preserve">(5), 20–41. </w:t>
      </w:r>
      <w:r>
        <w:rPr>
          <w:rFonts w:hint="default" w:ascii="Calibri" w:hAnsi="Calibri" w:cs="Calibri"/>
          <w:sz w:val="22"/>
          <w:szCs w:val="22"/>
        </w:rPr>
        <w:fldChar w:fldCharType="begin"/>
      </w:r>
      <w:r>
        <w:rPr>
          <w:rFonts w:hint="default" w:ascii="Calibri" w:hAnsi="Calibri" w:cs="Calibri"/>
          <w:sz w:val="22"/>
          <w:szCs w:val="22"/>
        </w:rPr>
        <w:instrText xml:space="preserve"> HYPERLINK "https://doi.org/10.35622/j.rr.2021.05.003" \t "_blank" </w:instrText>
      </w:r>
      <w:r>
        <w:rPr>
          <w:rFonts w:hint="default" w:ascii="Calibri" w:hAnsi="Calibri" w:cs="Calibri"/>
          <w:sz w:val="22"/>
          <w:szCs w:val="22"/>
        </w:rPr>
        <w:fldChar w:fldCharType="separate"/>
      </w:r>
      <w:r>
        <w:rPr>
          <w:rStyle w:val="11"/>
          <w:rFonts w:hint="default" w:ascii="Calibri" w:hAnsi="Calibri" w:cs="Calibri"/>
          <w:sz w:val="22"/>
          <w:szCs w:val="22"/>
        </w:rPr>
        <w:t>https://doi.org/10.35622/j.rr.2021.05.003</w:t>
      </w:r>
      <w:r>
        <w:rPr>
          <w:rFonts w:hint="default" w:ascii="Calibri" w:hAnsi="Calibri" w:cs="Calibri"/>
          <w:sz w:val="22"/>
          <w:szCs w:val="22"/>
        </w:rPr>
        <w:fldChar w:fldCharType="end"/>
      </w:r>
    </w:p>
    <w:p w14:paraId="40403FF9">
      <w:pPr>
        <w:pStyle w:val="19"/>
        <w:keepNext w:val="0"/>
        <w:keepLines w:val="0"/>
        <w:pageBreakBefore w:val="0"/>
        <w:widowControl/>
        <w:suppressLineNumbers w:val="0"/>
        <w:kinsoku/>
        <w:wordWrap/>
        <w:overflowPunct/>
        <w:topLinePunct w:val="0"/>
        <w:autoSpaceDE/>
        <w:autoSpaceDN/>
        <w:bidi w:val="0"/>
        <w:adjustRightInd/>
        <w:snapToGrid/>
        <w:spacing w:before="120" w:beforeAutospacing="0" w:afterAutospacing="0"/>
        <w:ind w:left="720" w:hanging="720"/>
        <w:jc w:val="both"/>
        <w:textAlignment w:val="auto"/>
        <w:rPr>
          <w:rFonts w:hint="default" w:ascii="Calibri" w:hAnsi="Calibri" w:cs="Calibri"/>
          <w:sz w:val="22"/>
          <w:szCs w:val="22"/>
        </w:rPr>
      </w:pPr>
      <w:r>
        <w:rPr>
          <w:rFonts w:hint="default" w:ascii="Calibri" w:hAnsi="Calibri" w:cs="Calibri"/>
          <w:sz w:val="22"/>
          <w:szCs w:val="22"/>
        </w:rPr>
        <w:t xml:space="preserve">Walker, C. (2015). </w:t>
      </w:r>
      <w:r>
        <w:rPr>
          <w:rFonts w:hint="default" w:ascii="Calibri" w:hAnsi="Calibri" w:cs="Calibri"/>
          <w:i/>
          <w:iCs/>
          <w:sz w:val="22"/>
          <w:szCs w:val="22"/>
        </w:rPr>
        <w:t>Tupac Amaru y el bicentenario</w:t>
      </w:r>
      <w:r>
        <w:rPr>
          <w:rFonts w:hint="default" w:ascii="Calibri" w:hAnsi="Calibri" w:cs="Calibri"/>
          <w:sz w:val="22"/>
          <w:szCs w:val="22"/>
        </w:rPr>
        <w:t xml:space="preserve">. Revista Argumentos. </w:t>
      </w:r>
      <w:r>
        <w:rPr>
          <w:rFonts w:hint="default" w:ascii="Calibri" w:hAnsi="Calibri" w:cs="Calibri"/>
          <w:sz w:val="22"/>
          <w:szCs w:val="22"/>
        </w:rPr>
        <w:fldChar w:fldCharType="begin"/>
      </w:r>
      <w:r>
        <w:rPr>
          <w:rFonts w:hint="default" w:ascii="Calibri" w:hAnsi="Calibri" w:cs="Calibri"/>
          <w:sz w:val="22"/>
          <w:szCs w:val="22"/>
        </w:rPr>
        <w:instrText xml:space="preserve"> HYPERLINK "https://argumentos-historico.iep.org.pe/wp-content/uploads/2015/08/WALKER_JULIO15.pdf" \t "_blank" </w:instrText>
      </w:r>
      <w:r>
        <w:rPr>
          <w:rFonts w:hint="default" w:ascii="Calibri" w:hAnsi="Calibri" w:cs="Calibri"/>
          <w:sz w:val="22"/>
          <w:szCs w:val="22"/>
        </w:rPr>
        <w:fldChar w:fldCharType="separate"/>
      </w:r>
      <w:r>
        <w:rPr>
          <w:rStyle w:val="11"/>
          <w:rFonts w:hint="default" w:ascii="Calibri" w:hAnsi="Calibri" w:cs="Calibri"/>
          <w:sz w:val="22"/>
          <w:szCs w:val="22"/>
        </w:rPr>
        <w:t>https://argumentos-historico.iep.org.pe/wp-content/uploads/2015/08/WALKER_JULIO15.pdf</w:t>
      </w:r>
      <w:r>
        <w:rPr>
          <w:rFonts w:hint="default" w:ascii="Calibri" w:hAnsi="Calibri" w:cs="Calibri"/>
          <w:sz w:val="22"/>
          <w:szCs w:val="22"/>
        </w:rPr>
        <w:fldChar w:fldCharType="end"/>
      </w:r>
    </w:p>
    <w:p w14:paraId="31DE9FAB">
      <w:pPr>
        <w:numPr>
          <w:ilvl w:val="0"/>
          <w:numId w:val="0"/>
        </w:numPr>
        <w:spacing w:after="0" w:line="240" w:lineRule="auto"/>
        <w:ind w:leftChars="0"/>
        <w:jc w:val="both"/>
        <w:rPr>
          <w:rFonts w:hint="default" w:ascii="Calibri" w:hAnsi="Calibri" w:cs="Calibri"/>
          <w:color w:val="222222"/>
          <w:sz w:val="22"/>
          <w:szCs w:val="22"/>
          <w:shd w:val="clear" w:color="auto" w:fill="FFFFFF"/>
        </w:rPr>
      </w:pPr>
      <w:r>
        <w:rPr>
          <w:rFonts w:hint="default" w:ascii="Calibri" w:hAnsi="Calibri" w:cs="Calibri"/>
          <w:color w:val="222222"/>
          <w:sz w:val="22"/>
          <w:szCs w:val="22"/>
          <w:shd w:val="clear" w:color="auto" w:fill="FFFFFF"/>
        </w:rPr>
        <w:t xml:space="preserve"> </w:t>
      </w:r>
    </w:p>
    <w:p w14:paraId="7848D5C2">
      <w:pPr>
        <w:pStyle w:val="19"/>
        <w:spacing w:before="120" w:beforeAutospacing="0" w:after="0" w:afterAutospacing="0"/>
        <w:ind w:left="720" w:hanging="720"/>
        <w:jc w:val="both"/>
        <w:rPr>
          <w:rFonts w:asciiTheme="minorHAnsi" w:hAnsiTheme="minorHAnsi"/>
          <w:b/>
          <w:bCs/>
          <w:szCs w:val="20"/>
        </w:rPr>
      </w:pPr>
    </w:p>
    <w:sectPr>
      <w:headerReference r:id="rId6" w:type="first"/>
      <w:footerReference r:id="rId8" w:type="first"/>
      <w:headerReference r:id="rId5" w:type="default"/>
      <w:footerReference r:id="rId7" w:type="default"/>
      <w:pgSz w:w="12240" w:h="15840"/>
      <w:pgMar w:top="357" w:right="1418" w:bottom="227" w:left="1418" w:header="709" w:footer="397"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swiss"/>
    <w:pitch w:val="default"/>
    <w:sig w:usb0="E4002EFF" w:usb1="C000E47F" w:usb2="00000009" w:usb3="00000000" w:csb0="200001FF" w:csb1="00000000"/>
  </w:font>
  <w:font w:name="Wingdings">
    <w:panose1 w:val="05000000000000000000"/>
    <w:charset w:val="00"/>
    <w:family w:val="auto"/>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4BA46">
    <w:pPr>
      <w:pStyle w:val="20"/>
      <w:spacing w:before="60"/>
    </w:pPr>
    <w:r>
      <w:rPr>
        <w:lang w:val="zh-CN" w:eastAsia="zh-CN"/>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-5715</wp:posOffset>
              </wp:positionV>
              <wp:extent cx="5966460" cy="0"/>
              <wp:effectExtent l="0" t="0" r="0" b="0"/>
              <wp:wrapNone/>
              <wp:docPr id="10" name="Conector recto 9"/>
              <wp:cNvGraphicFramePr/>
              <a:graphic xmlns:a="http://schemas.openxmlformats.org/drawingml/2006/main">
                <a:graphicData uri="http://schemas.microsoft.com/office/word/2010/wordprocessingShape">
                  <wps:wsp>
                    <wps:cNvCnPr/>
                    <wps:spPr>
                      <a:xfrm>
                        <a:off x="0" y="0"/>
                        <a:ext cx="59664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cto 9" o:spid="_x0000_s1026" o:spt="20" style="position:absolute;left:0pt;margin-top:-0.45pt;height:0pt;width:469.8pt;mso-position-horizontal:left;mso-position-horizontal-relative:margin;z-index:251660288;mso-width-relative:page;mso-height-relative:page;" filled="f" stroked="t" coordsize="21600,21600" o:gfxdata="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DJxBsXVAAAABAEAAA8A&#10;AAAAAAAAAQAgAAAAIgAAAGRycy9kb3ducmV2LnhtbFBLAQIUABQAAAAIAIdO4kAFe2tH4QEAANMD&#10;AAAOAAAAAAAAAAEAIAAAACQBAABkcnMvZTJvRG9jLnhtbFBLBQYAAAAABgAGAFkBAAB3BQAAAAA=&#10;">
              <v:fill on="f" focussize="0,0"/>
              <v:stroke color="#4A7EBB [3204]" joinstyle="round"/>
              <v:imagedata o:title=""/>
              <o:lock v:ext="edit" aspectratio="f"/>
            </v:line>
          </w:pict>
        </mc:Fallback>
      </mc:AlternateContent>
    </w:r>
    <w:r>
      <w:rPr>
        <w:rFonts w:asciiTheme="majorHAnsi" w:hAnsiTheme="majorHAnsi" w:eastAsiaTheme="majorEastAsia" w:cstheme="majorBidi"/>
        <w:sz w:val="28"/>
        <w:szCs w:val="28"/>
        <w:lang w:val="zh-CN" w:eastAsia="zh-CN"/>
      </w:rPr>
      <mc:AlternateContent>
        <mc:Choice Requires="wps">
          <w:drawing>
            <wp:anchor distT="0" distB="0" distL="114300" distR="114300" simplePos="0" relativeHeight="251661312" behindDoc="0" locked="0" layoutInCell="0" allowOverlap="1">
              <wp:simplePos x="0" y="0"/>
              <wp:positionH relativeFrom="page">
                <wp:posOffset>6526530</wp:posOffset>
              </wp:positionH>
              <wp:positionV relativeFrom="bottomMargin">
                <wp:posOffset>47625</wp:posOffset>
              </wp:positionV>
              <wp:extent cx="323850" cy="323850"/>
              <wp:effectExtent l="0" t="0" r="11430" b="11430"/>
              <wp:wrapNone/>
              <wp:docPr id="11" name="Elipse 16"/>
              <wp:cNvGraphicFramePr/>
              <a:graphic xmlns:a="http://schemas.openxmlformats.org/drawingml/2006/main">
                <a:graphicData uri="http://schemas.microsoft.com/office/word/2010/wordprocessingShape">
                  <wps:wsp>
                    <wps:cNvSpPr>
                      <a:spLocks noChangeArrowheads="1"/>
                    </wps:cNvSpPr>
                    <wps:spPr bwMode="auto">
                      <a:xfrm>
                        <a:off x="0" y="0"/>
                        <a:ext cx="324000" cy="324000"/>
                      </a:xfrm>
                      <a:prstGeom prst="ellipse">
                        <a:avLst/>
                      </a:prstGeom>
                      <a:solidFill>
                        <a:srgbClr val="00CD23"/>
                      </a:solidFill>
                      <a:ln>
                        <a:noFill/>
                      </a:ln>
                    </wps:spPr>
                    <wps:txbx>
                      <w:txbxContent>
                        <w:p w14:paraId="79B58789">
                          <w:pPr>
                            <w:jc w:val="center"/>
                            <w:rPr>
                              <w:rStyle w:val="12"/>
                              <w:color w:val="FFFFFF" w:themeColor="background1"/>
                              <w:sz w:val="20"/>
                              <w:szCs w:val="24"/>
                              <w14:textFill>
                                <w14:solidFill>
                                  <w14:schemeClr w14:val="bg1"/>
                                </w14:solidFill>
                              </w14:textFill>
                            </w:rPr>
                          </w:pPr>
                          <w:r>
                            <w:rPr>
                              <w:sz w:val="20"/>
                            </w:rPr>
                            <w:fldChar w:fldCharType="begin"/>
                          </w:r>
                          <w:r>
                            <w:rPr>
                              <w:sz w:val="20"/>
                            </w:rPr>
                            <w:instrText xml:space="preserve">PAGE    \* MERGEFORMAT</w:instrText>
                          </w:r>
                          <w:r>
                            <w:rPr>
                              <w:sz w:val="20"/>
                            </w:rPr>
                            <w:fldChar w:fldCharType="separate"/>
                          </w:r>
                          <w:r>
                            <w:rPr>
                              <w:rStyle w:val="12"/>
                              <w:b/>
                              <w:bCs/>
                              <w:color w:val="FFFFFF" w:themeColor="background1"/>
                              <w:szCs w:val="24"/>
                              <w:lang w:val="es-ES"/>
                              <w14:textFill>
                                <w14:solidFill>
                                  <w14:schemeClr w14:val="bg1"/>
                                </w14:solidFill>
                              </w14:textFill>
                            </w:rPr>
                            <w:t>8</w:t>
                          </w:r>
                          <w:r>
                            <w:rPr>
                              <w:rStyle w:val="12"/>
                              <w:b/>
                              <w:bCs/>
                              <w:color w:val="FFFFFF" w:themeColor="background1"/>
                              <w:szCs w:val="24"/>
                              <w14:textFill>
                                <w14:solidFill>
                                  <w14:schemeClr w14:val="bg1"/>
                                </w14:solidFill>
                              </w14:textFill>
                            </w:rPr>
                            <w:fldChar w:fldCharType="end"/>
                          </w:r>
                        </w:p>
                      </w:txbxContent>
                    </wps:txbx>
                    <wps:bodyPr rot="0" vert="horz" wrap="square" lIns="0" tIns="45720" rIns="0" bIns="45720" anchor="t" anchorCtr="0" upright="1">
                      <a:noAutofit/>
                    </wps:bodyPr>
                  </wps:wsp>
                </a:graphicData>
              </a:graphic>
            </wp:anchor>
          </w:drawing>
        </mc:Choice>
        <mc:Fallback>
          <w:pict>
            <v:shape id="Elipse 16" o:spid="_x0000_s1026" o:spt="3" type="#_x0000_t3" style="position:absolute;left:0pt;margin-left:513.9pt;margin-top:748.45pt;height:25.5pt;width:25.5pt;mso-position-horizontal-relative:page;mso-position-vertical-relative:page;z-index:251661312;mso-width-relative:page;mso-height-relative:page;" fillcolor="#00CD23" filled="t" stroked="f" coordsize="21600,21600" o:allowincell="f" o:gfxdata="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iX3tXNYAAAAKAQAADwAAAAAAAAABACAA&#10;AAAiAAAAZHJzL2Rvd25yZXYueG1sUEsBAhQAFAAAAAgAh07iQGWPuAIPAgAALQQAAA4AAAAAAAAA&#10;AQAgAAAAJQEAAGRycy9lMm9Eb2MueG1sUEsFBgAAAAAGAAYAWQEAAKYFAAAAAA==&#10;">
              <v:fill on="t" focussize="0,0"/>
              <v:stroke on="f"/>
              <v:imagedata o:title=""/>
              <o:lock v:ext="edit" aspectratio="f"/>
              <v:textbox inset="0mm,1.27mm,0mm,1.27mm">
                <w:txbxContent>
                  <w:p w14:paraId="79B58789">
                    <w:pPr>
                      <w:jc w:val="center"/>
                      <w:rPr>
                        <w:rStyle w:val="12"/>
                        <w:color w:val="FFFFFF" w:themeColor="background1"/>
                        <w:sz w:val="20"/>
                        <w:szCs w:val="24"/>
                        <w14:textFill>
                          <w14:solidFill>
                            <w14:schemeClr w14:val="bg1"/>
                          </w14:solidFill>
                        </w14:textFill>
                      </w:rPr>
                    </w:pPr>
                    <w:r>
                      <w:rPr>
                        <w:sz w:val="20"/>
                      </w:rPr>
                      <w:fldChar w:fldCharType="begin"/>
                    </w:r>
                    <w:r>
                      <w:rPr>
                        <w:sz w:val="20"/>
                      </w:rPr>
                      <w:instrText xml:space="preserve">PAGE    \* MERGEFORMAT</w:instrText>
                    </w:r>
                    <w:r>
                      <w:rPr>
                        <w:sz w:val="20"/>
                      </w:rPr>
                      <w:fldChar w:fldCharType="separate"/>
                    </w:r>
                    <w:r>
                      <w:rPr>
                        <w:rStyle w:val="12"/>
                        <w:b/>
                        <w:bCs/>
                        <w:color w:val="FFFFFF" w:themeColor="background1"/>
                        <w:szCs w:val="24"/>
                        <w:lang w:val="es-ES"/>
                        <w14:textFill>
                          <w14:solidFill>
                            <w14:schemeClr w14:val="bg1"/>
                          </w14:solidFill>
                        </w14:textFill>
                      </w:rPr>
                      <w:t>8</w:t>
                    </w:r>
                    <w:r>
                      <w:rPr>
                        <w:rStyle w:val="12"/>
                        <w:b/>
                        <w:bCs/>
                        <w:color w:val="FFFFFF" w:themeColor="background1"/>
                        <w:szCs w:val="24"/>
                        <w14:textFill>
                          <w14:solidFill>
                            <w14:schemeClr w14:val="bg1"/>
                          </w14:solidFill>
                        </w14:textFill>
                      </w:rPr>
                      <w:fldChar w:fldCharType="end"/>
                    </w:r>
                  </w:p>
                </w:txbxContent>
              </v:textbox>
            </v:shape>
          </w:pict>
        </mc:Fallback>
      </mc:AlternateContent>
    </w:r>
    <w:r>
      <w:rPr>
        <w:lang w:val="zh-CN" w:eastAsia="zh-CN"/>
      </w:rPr>
      <w:drawing>
        <wp:inline distT="0" distB="0" distL="0" distR="0">
          <wp:extent cx="1028065" cy="310515"/>
          <wp:effectExtent l="0" t="0" r="635" b="0"/>
          <wp:docPr id="12" name="Imagen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3"/>
                  <pic:cNvPicPr>
                    <a:picLocks noChangeAspect="1"/>
                  </pic:cNvPicPr>
                </pic:nvPicPr>
                <pic:blipFill>
                  <a:blip r:embed="rId2">
                    <a:extLst>
                      <a:ext uri="{28A0092B-C50C-407E-A947-70E740481C1C}">
                        <a14:useLocalDpi xmlns:a14="http://schemas.microsoft.com/office/drawing/2010/main" val="0"/>
                      </a:ext>
                    </a:extLst>
                  </a:blip>
                  <a:srcRect t="33148" b="36666"/>
                  <a:stretch>
                    <a:fillRect/>
                  </a:stretch>
                </pic:blipFill>
                <pic:spPr>
                  <a:xfrm>
                    <a:off x="0" y="0"/>
                    <a:ext cx="1067486" cy="322266"/>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9A4E6">
    <w:pPr>
      <w:spacing w:after="0" w:line="240" w:lineRule="auto"/>
      <w:jc w:val="both"/>
      <w:rPr>
        <w:rFonts w:ascii="Times New Roman" w:hAnsi="Times New Roman" w:cs="Times New Roman"/>
        <w:b/>
        <w:sz w:val="16"/>
        <w:szCs w:val="16"/>
        <w:lang w:val="es-ES"/>
      </w:rPr>
    </w:pPr>
    <w:r>
      <w:rPr>
        <w:rFonts w:asciiTheme="majorHAnsi" w:hAnsiTheme="majorHAnsi" w:eastAsiaTheme="majorEastAsia" w:cstheme="majorBidi"/>
        <w:sz w:val="28"/>
        <w:szCs w:val="28"/>
        <w:lang w:val="zh-CN" w:eastAsia="zh-CN"/>
      </w:rPr>
      <mc:AlternateContent>
        <mc:Choice Requires="wps">
          <w:drawing>
            <wp:anchor distT="0" distB="0" distL="114300" distR="114300" simplePos="0" relativeHeight="251663360" behindDoc="0" locked="0" layoutInCell="0" allowOverlap="1">
              <wp:simplePos x="0" y="0"/>
              <wp:positionH relativeFrom="page">
                <wp:posOffset>6543040</wp:posOffset>
              </wp:positionH>
              <wp:positionV relativeFrom="bottomMargin">
                <wp:posOffset>134620</wp:posOffset>
              </wp:positionV>
              <wp:extent cx="323850" cy="323850"/>
              <wp:effectExtent l="0" t="0" r="11430" b="11430"/>
              <wp:wrapNone/>
              <wp:docPr id="6" name="Elipse 19"/>
              <wp:cNvGraphicFramePr/>
              <a:graphic xmlns:a="http://schemas.openxmlformats.org/drawingml/2006/main">
                <a:graphicData uri="http://schemas.microsoft.com/office/word/2010/wordprocessingShape">
                  <wps:wsp>
                    <wps:cNvSpPr>
                      <a:spLocks noChangeArrowheads="1"/>
                    </wps:cNvSpPr>
                    <wps:spPr bwMode="auto">
                      <a:xfrm>
                        <a:off x="0" y="0"/>
                        <a:ext cx="324000" cy="324000"/>
                      </a:xfrm>
                      <a:prstGeom prst="ellipse">
                        <a:avLst/>
                      </a:prstGeom>
                      <a:solidFill>
                        <a:srgbClr val="00CD23"/>
                      </a:solidFill>
                      <a:ln>
                        <a:noFill/>
                      </a:ln>
                    </wps:spPr>
                    <wps:txbx>
                      <w:txbxContent>
                        <w:p w14:paraId="7A03A822">
                          <w:pPr>
                            <w:jc w:val="center"/>
                            <w:rPr>
                              <w:rStyle w:val="12"/>
                              <w:color w:val="FFFFFF" w:themeColor="background1"/>
                              <w:sz w:val="20"/>
                              <w:szCs w:val="24"/>
                              <w14:textFill>
                                <w14:solidFill>
                                  <w14:schemeClr w14:val="bg1"/>
                                </w14:solidFill>
                              </w14:textFill>
                            </w:rPr>
                          </w:pPr>
                          <w:r>
                            <w:rPr>
                              <w:sz w:val="20"/>
                            </w:rPr>
                            <w:fldChar w:fldCharType="begin"/>
                          </w:r>
                          <w:r>
                            <w:rPr>
                              <w:sz w:val="20"/>
                            </w:rPr>
                            <w:instrText xml:space="preserve">PAGE    \* MERGEFORMAT</w:instrText>
                          </w:r>
                          <w:r>
                            <w:rPr>
                              <w:sz w:val="20"/>
                            </w:rPr>
                            <w:fldChar w:fldCharType="separate"/>
                          </w:r>
                          <w:r>
                            <w:rPr>
                              <w:rStyle w:val="12"/>
                              <w:b/>
                              <w:bCs/>
                              <w:color w:val="FFFFFF" w:themeColor="background1"/>
                              <w:szCs w:val="24"/>
                              <w:lang w:val="es-ES"/>
                              <w14:textFill>
                                <w14:solidFill>
                                  <w14:schemeClr w14:val="bg1"/>
                                </w14:solidFill>
                              </w14:textFill>
                            </w:rPr>
                            <w:t>1</w:t>
                          </w:r>
                          <w:r>
                            <w:rPr>
                              <w:rStyle w:val="12"/>
                              <w:b/>
                              <w:bCs/>
                              <w:color w:val="FFFFFF" w:themeColor="background1"/>
                              <w:szCs w:val="24"/>
                              <w14:textFill>
                                <w14:solidFill>
                                  <w14:schemeClr w14:val="bg1"/>
                                </w14:solidFill>
                              </w14:textFill>
                            </w:rPr>
                            <w:fldChar w:fldCharType="end"/>
                          </w:r>
                        </w:p>
                      </w:txbxContent>
                    </wps:txbx>
                    <wps:bodyPr rot="0" vert="horz" wrap="square" lIns="0" tIns="45720" rIns="0" bIns="45720" anchor="t" anchorCtr="0" upright="1">
                      <a:noAutofit/>
                    </wps:bodyPr>
                  </wps:wsp>
                </a:graphicData>
              </a:graphic>
            </wp:anchor>
          </w:drawing>
        </mc:Choice>
        <mc:Fallback>
          <w:pict>
            <v:shape id="Elipse 19" o:spid="_x0000_s1026" o:spt="3" type="#_x0000_t3" style="position:absolute;left:0pt;margin-left:515.2pt;margin-top:739.8pt;height:25.5pt;width:25.5pt;mso-position-horizontal-relative:page;mso-position-vertical-relative:page;z-index:251663360;mso-width-relative:page;mso-height-relative:page;" fillcolor="#00CD23" filled="t" stroked="f" coordsize="21600,21600" o:allowincell="f" o:gfxdata="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C0rjy1gAAAAsBAAAPAAAAAAAAAAEAIAAA&#10;ACIAAABkcnMvZG93bnJldi54bWxQSwECFAAUAAAACACHTuJAvS6RGA4CAAAsBAAADgAAAAAAAAAB&#10;ACAAAAAlAQAAZHJzL2Uyb0RvYy54bWxQSwUGAAAAAAYABgBZAQAApQUAAAAA&#10;">
              <v:fill on="t" focussize="0,0"/>
              <v:stroke on="f"/>
              <v:imagedata o:title=""/>
              <o:lock v:ext="edit" aspectratio="f"/>
              <v:textbox inset="0mm,1.27mm,0mm,1.27mm">
                <w:txbxContent>
                  <w:p w14:paraId="7A03A822">
                    <w:pPr>
                      <w:jc w:val="center"/>
                      <w:rPr>
                        <w:rStyle w:val="12"/>
                        <w:color w:val="FFFFFF" w:themeColor="background1"/>
                        <w:sz w:val="20"/>
                        <w:szCs w:val="24"/>
                        <w14:textFill>
                          <w14:solidFill>
                            <w14:schemeClr w14:val="bg1"/>
                          </w14:solidFill>
                        </w14:textFill>
                      </w:rPr>
                    </w:pPr>
                    <w:r>
                      <w:rPr>
                        <w:sz w:val="20"/>
                      </w:rPr>
                      <w:fldChar w:fldCharType="begin"/>
                    </w:r>
                    <w:r>
                      <w:rPr>
                        <w:sz w:val="20"/>
                      </w:rPr>
                      <w:instrText xml:space="preserve">PAGE    \* MERGEFORMAT</w:instrText>
                    </w:r>
                    <w:r>
                      <w:rPr>
                        <w:sz w:val="20"/>
                      </w:rPr>
                      <w:fldChar w:fldCharType="separate"/>
                    </w:r>
                    <w:r>
                      <w:rPr>
                        <w:rStyle w:val="12"/>
                        <w:b/>
                        <w:bCs/>
                        <w:color w:val="FFFFFF" w:themeColor="background1"/>
                        <w:szCs w:val="24"/>
                        <w:lang w:val="es-ES"/>
                        <w14:textFill>
                          <w14:solidFill>
                            <w14:schemeClr w14:val="bg1"/>
                          </w14:solidFill>
                        </w14:textFill>
                      </w:rPr>
                      <w:t>1</w:t>
                    </w:r>
                    <w:r>
                      <w:rPr>
                        <w:rStyle w:val="12"/>
                        <w:b/>
                        <w:bCs/>
                        <w:color w:val="FFFFFF" w:themeColor="background1"/>
                        <w:szCs w:val="24"/>
                        <w14:textFill>
                          <w14:solidFill>
                            <w14:schemeClr w14:val="bg1"/>
                          </w14:solidFill>
                        </w14:textFill>
                      </w:rPr>
                      <w:fldChar w:fldCharType="end"/>
                    </w:r>
                  </w:p>
                </w:txbxContent>
              </v:textbox>
            </v:shape>
          </w:pict>
        </mc:Fallback>
      </mc:AlternateContent>
    </w:r>
  </w:p>
  <w:p w14:paraId="14C7D2D1">
    <w:pPr>
      <w:spacing w:after="0" w:line="240" w:lineRule="auto"/>
      <w:jc w:val="right"/>
      <w:rPr>
        <w:rFonts w:cs="Times New Roman" w:asciiTheme="minorHAnsi" w:hAnsiTheme="minorHAnsi"/>
        <w:sz w:val="16"/>
        <w:szCs w:val="16"/>
        <w:lang w:val="es-ES"/>
      </w:rPr>
    </w:pPr>
    <w:r>
      <w:rPr>
        <w:rFonts w:asciiTheme="minorHAnsi" w:hAnsiTheme="minorHAnsi"/>
        <w:lang w:val="zh-CN"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-41275</wp:posOffset>
              </wp:positionV>
              <wp:extent cx="5966460" cy="0"/>
              <wp:effectExtent l="0" t="5080" r="0" b="4445"/>
              <wp:wrapNone/>
              <wp:docPr id="7" name="Conector recto 11"/>
              <wp:cNvGraphicFramePr/>
              <a:graphic xmlns:a="http://schemas.openxmlformats.org/drawingml/2006/main">
                <a:graphicData uri="http://schemas.microsoft.com/office/word/2010/wordprocessingShape">
                  <wps:wsp>
                    <wps:cNvCnPr/>
                    <wps:spPr>
                      <a:xfrm>
                        <a:off x="0" y="0"/>
                        <a:ext cx="59664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cto 11" o:spid="_x0000_s1026" o:spt="20" style="position:absolute;left:0pt;margin-left:0pt;margin-top:-3.25pt;height:0pt;width:469.8pt;z-index:251659264;mso-width-relative:page;mso-height-relative:page;" filled="f" stroked="t" coordsize="21600,21600" o:gfxdata="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EhqjhnXAAAABgEA&#10;AA8AAAAAAAAAAQAgAAAAIgAAAGRycy9kb3ducmV2LnhtbFBLAQIUABQAAAAIAIdO4kChZtc74gEA&#10;ANMDAAAOAAAAAAAAAAEAIAAAACYBAABkcnMvZTJvRG9jLnhtbFBLBQYAAAAABgAGAFkBAAB6BQAA&#10;AAA=&#10;">
              <v:fill on="f" focussize="0,0"/>
              <v:stroke color="#4A7EBB [3204]" joinstyle="round"/>
              <v:imagedata o:title=""/>
              <o:lock v:ext="edit" aspectratio="f"/>
            </v:line>
          </w:pict>
        </mc:Fallback>
      </mc:AlternateContent>
    </w:r>
  </w:p>
  <w:p w14:paraId="50EF456F">
    <w:pPr>
      <w:spacing w:after="0" w:line="240" w:lineRule="auto"/>
      <w:rPr>
        <w:rFonts w:cs="Times New Roman" w:asciiTheme="minorHAnsi" w:hAnsiTheme="minorHAnsi"/>
        <w:sz w:val="16"/>
        <w:szCs w:val="16"/>
        <w:lang w:val="es-ES"/>
      </w:rPr>
    </w:pPr>
    <w:r>
      <w:rPr>
        <w:rFonts w:cs="Times New Roman" w:asciiTheme="minorHAnsi" w:hAnsiTheme="minorHAnsi"/>
        <w:sz w:val="16"/>
        <w:szCs w:val="16"/>
        <w:lang w:val="es-ES"/>
      </w:rPr>
      <w:drawing>
        <wp:inline distT="0" distB="0" distL="0" distR="0">
          <wp:extent cx="838200" cy="295275"/>
          <wp:effectExtent l="0" t="0" r="0" b="9525"/>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inline>
      </w:drawing>
    </w:r>
    <w:r>
      <w:rPr>
        <w:rFonts w:cs="Times New Roman" w:asciiTheme="minorHAnsi" w:hAnsiTheme="minorHAnsi"/>
        <w:sz w:val="16"/>
        <w:szCs w:val="16"/>
        <w:lang w:val="es-E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29DDC">
    <w:pPr>
      <w:pStyle w:val="18"/>
      <w:jc w:val="both"/>
      <w:rPr>
        <w:rFonts w:asciiTheme="minorHAnsi" w:hAnsiTheme="minorHAnsi" w:cstheme="minorHAnsi"/>
        <w:sz w:val="16"/>
        <w:szCs w:val="16"/>
      </w:rPr>
    </w:pPr>
    <w:r>
      <w:rPr>
        <w:rFonts w:asciiTheme="minorHAnsi" w:hAnsiTheme="minorHAnsi" w:cstheme="minorHAnsi"/>
        <w:sz w:val="16"/>
        <w:szCs w:val="16"/>
        <w:lang w:val="es-ES" w:eastAsia="zh-CN"/>
      </w:rPr>
      <mc:AlternateContent>
        <mc:Choice Requires="wps">
          <w:drawing>
            <wp:anchor distT="0" distB="0" distL="114300" distR="114300" simplePos="0" relativeHeight="251664384" behindDoc="0" locked="0" layoutInCell="1" allowOverlap="1">
              <wp:simplePos x="0" y="0"/>
              <wp:positionH relativeFrom="margin">
                <wp:align>left</wp:align>
              </wp:positionH>
              <wp:positionV relativeFrom="paragraph">
                <wp:posOffset>376555</wp:posOffset>
              </wp:positionV>
              <wp:extent cx="5984240" cy="5080"/>
              <wp:effectExtent l="0" t="0" r="35560" b="33020"/>
              <wp:wrapNone/>
              <wp:docPr id="18" name="Conector recto 18"/>
              <wp:cNvGraphicFramePr/>
              <a:graphic xmlns:a="http://schemas.openxmlformats.org/drawingml/2006/main">
                <a:graphicData uri="http://schemas.microsoft.com/office/word/2010/wordprocessingShape">
                  <wps:wsp>
                    <wps:cNvCnPr/>
                    <wps:spPr>
                      <a:xfrm flipV="1">
                        <a:off x="0" y="0"/>
                        <a:ext cx="5984240" cy="50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top:29.65pt;height:0.4pt;width:471.2pt;mso-position-horizontal:left;mso-position-horizontal-relative:margin;z-index:251664384;mso-width-relative:page;mso-height-relative:page;" filled="f" stroked="t" coordsize="21600,21600" o:gfxdata="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yR83NNcAAAAGAQAADwAAAAAAAAABACAAAAAiAAAAZHJzL2Rvd25yZXYueG1sUEsBAhQAFAAAAAgA&#10;h07iQCEzq5vtAQAA4QMAAA4AAAAAAAAAAQAgAAAAJgEAAGRycy9lMm9Eb2MueG1sUEsFBgAAAAAG&#10;AAYAWQEAAIUFAAAAAA==&#10;">
              <v:fill on="f" focussize="0,0"/>
              <v:stroke color="#4A7EBB [3204]" joinstyle="round"/>
              <v:imagedata o:title=""/>
              <o:lock v:ext="edit" aspectratio="f"/>
            </v:line>
          </w:pict>
        </mc:Fallback>
      </mc:AlternateContent>
    </w:r>
    <w:r>
      <w:rPr>
        <w:rFonts w:asciiTheme="minorHAnsi" w:hAnsiTheme="minorHAnsi" w:cstheme="minorHAnsi"/>
        <w:sz w:val="16"/>
        <w:szCs w:val="16"/>
        <w:shd w:val="clear" w:color="auto" w:fill="FFFFFF"/>
      </w:rPr>
      <w:t xml:space="preserve"> Álvarez Ccasa, J. C., Gonzáles Benites, M. T., &amp; Morán Quintanilla, Y. (2026). Determinantes de la gestión del talento humano en el cumplimiento de metas operativas: Una revisión sistemática en el sector saneamiento. </w:t>
    </w:r>
    <w:r>
      <w:rPr>
        <w:rFonts w:asciiTheme="minorHAnsi" w:hAnsiTheme="minorHAnsi" w:cstheme="minorHAnsi"/>
        <w:i/>
        <w:iCs/>
        <w:sz w:val="16"/>
        <w:szCs w:val="16"/>
        <w:shd w:val="clear" w:color="auto" w:fill="FFFFFF"/>
      </w:rPr>
      <w:t>e-Revista Multidisciplinaria Del Saber</w:t>
    </w:r>
    <w:r>
      <w:rPr>
        <w:rFonts w:asciiTheme="minorHAnsi" w:hAnsiTheme="minorHAnsi" w:cstheme="minorHAnsi"/>
        <w:sz w:val="16"/>
        <w:szCs w:val="16"/>
        <w:shd w:val="clear" w:color="auto" w:fill="FFFFFF"/>
      </w:rPr>
      <w:t>, </w:t>
    </w:r>
    <w:r>
      <w:rPr>
        <w:rFonts w:asciiTheme="minorHAnsi" w:hAnsiTheme="minorHAnsi" w:cstheme="minorHAnsi"/>
        <w:i/>
        <w:iCs/>
        <w:sz w:val="16"/>
        <w:szCs w:val="16"/>
        <w:shd w:val="clear" w:color="auto" w:fill="FFFFFF"/>
      </w:rPr>
      <w:t>4</w:t>
    </w:r>
    <w:r>
      <w:rPr>
        <w:rFonts w:asciiTheme="minorHAnsi" w:hAnsiTheme="minorHAnsi" w:cstheme="minorHAnsi"/>
        <w:sz w:val="16"/>
        <w:szCs w:val="16"/>
        <w:shd w:val="clear" w:color="auto" w:fill="FFFFFF"/>
      </w:rPr>
      <w:t xml:space="preserve">, e-RMS02042026. </w:t>
    </w:r>
    <w:r>
      <w:fldChar w:fldCharType="begin"/>
    </w:r>
    <w:r>
      <w:instrText xml:space="preserve"> HYPERLINK "https://doi.org/10.61286/e-rms.v4i.359" </w:instrText>
    </w:r>
    <w:r>
      <w:fldChar w:fldCharType="separate"/>
    </w:r>
    <w:r>
      <w:rPr>
        <w:rStyle w:val="11"/>
        <w:rFonts w:asciiTheme="minorHAnsi" w:hAnsiTheme="minorHAnsi" w:cstheme="minorHAnsi"/>
        <w:sz w:val="16"/>
        <w:szCs w:val="16"/>
        <w:shd w:val="clear" w:color="auto" w:fill="FFFFFF"/>
      </w:rPr>
      <w:t>https://doi.org/10.61286/e-rms.v4i.359</w:t>
    </w:r>
    <w:r>
      <w:rPr>
        <w:rStyle w:val="11"/>
        <w:rFonts w:asciiTheme="minorHAnsi" w:hAnsiTheme="minorHAnsi" w:cstheme="minorHAnsi"/>
        <w:sz w:val="16"/>
        <w:szCs w:val="16"/>
        <w:shd w:val="clear" w:color="auto" w:fill="FFFFF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F7EE2">
    <w:pPr>
      <w:pStyle w:val="18"/>
    </w:pPr>
    <w:r>
      <w:rPr>
        <w:lang w:val="zh-CN" w:eastAsia="zh-CN"/>
      </w:rPr>
      <w:drawing>
        <wp:anchor distT="0" distB="0" distL="114300" distR="114300" simplePos="0" relativeHeight="251662336" behindDoc="0" locked="0" layoutInCell="1" allowOverlap="1">
          <wp:simplePos x="0" y="0"/>
          <wp:positionH relativeFrom="page">
            <wp:posOffset>939800</wp:posOffset>
          </wp:positionH>
          <wp:positionV relativeFrom="page">
            <wp:posOffset>492760</wp:posOffset>
          </wp:positionV>
          <wp:extent cx="683895" cy="683895"/>
          <wp:effectExtent l="0" t="0" r="1905" b="1905"/>
          <wp:wrapNone/>
          <wp:docPr id="2"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684000" cy="684000"/>
                  </a:xfrm>
                  <a:prstGeom prst="rect">
                    <a:avLst/>
                  </a:prstGeom>
                  <a:noFill/>
                  <a:ln>
                    <a:noFill/>
                  </a:ln>
                </pic:spPr>
              </pic:pic>
            </a:graphicData>
          </a:graphic>
        </wp:anchor>
      </w:drawing>
    </w:r>
    <w:r>
      <w:rPr>
        <w:lang w:val="zh-CN" w:eastAsia="zh-CN"/>
      </w:rPr>
      <w:drawing>
        <wp:inline distT="0" distB="0" distL="0" distR="0">
          <wp:extent cx="6022975" cy="771525"/>
          <wp:effectExtent l="0" t="0" r="12065" b="5715"/>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023324" cy="771583"/>
                  </a:xfrm>
                  <a:prstGeom prst="rect">
                    <a:avLst/>
                  </a:prstGeom>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912DF9"/>
    <w:multiLevelType w:val="singleLevel"/>
    <w:tmpl w:val="95912DF9"/>
    <w:lvl w:ilvl="0" w:tentative="0">
      <w:start w:val="1"/>
      <w:numFmt w:val="bullet"/>
      <w:lvlText w:val=""/>
      <w:lvlJc w:val="left"/>
      <w:pPr>
        <w:tabs>
          <w:tab w:val="left" w:pos="840"/>
        </w:tabs>
        <w:ind w:left="840" w:leftChars="0" w:hanging="420" w:firstLineChars="0"/>
      </w:pPr>
      <w:rPr>
        <w:rFonts w:hint="default" w:ascii="Wingdings" w:hAnsi="Wingdings"/>
      </w:rPr>
    </w:lvl>
  </w:abstractNum>
  <w:abstractNum w:abstractNumId="1">
    <w:nsid w:val="0DC73928"/>
    <w:multiLevelType w:val="multilevel"/>
    <w:tmpl w:val="0DC73928"/>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
    <w:nsid w:val="73C47C71"/>
    <w:multiLevelType w:val="multilevel"/>
    <w:tmpl w:val="73C47C71"/>
    <w:lvl w:ilvl="0" w:tentative="0">
      <w:start w:val="1"/>
      <w:numFmt w:val="decimal"/>
      <w:pStyle w:val="40"/>
      <w:lvlText w:val="(%1)"/>
      <w:lvlJc w:val="left"/>
      <w:pPr>
        <w:ind w:left="470" w:hanging="215"/>
      </w:pPr>
      <w:rPr>
        <w:rFonts w:hint="default" w:eastAsia="Times New Roman" w:cs="Times New Roman" w:asciiTheme="minorHAnsi" w:hAnsiTheme="minorHAnsi"/>
        <w:b w:val="0"/>
        <w:bCs w:val="0"/>
        <w:i w:val="0"/>
        <w:iCs w:val="0"/>
        <w:w w:val="99"/>
        <w:position w:val="8"/>
        <w:sz w:val="14"/>
        <w:szCs w:val="15"/>
        <w:lang w:val="es-ES" w:eastAsia="en-US" w:bidi="ar-SA"/>
      </w:rPr>
    </w:lvl>
    <w:lvl w:ilvl="1" w:tentative="0">
      <w:start w:val="0"/>
      <w:numFmt w:val="bullet"/>
      <w:lvlText w:val="•"/>
      <w:lvlJc w:val="left"/>
      <w:pPr>
        <w:ind w:left="1174" w:hanging="215"/>
      </w:pPr>
      <w:rPr>
        <w:rFonts w:hint="default"/>
        <w:lang w:val="es-ES" w:eastAsia="en-US" w:bidi="ar-SA"/>
      </w:rPr>
    </w:lvl>
    <w:lvl w:ilvl="2" w:tentative="0">
      <w:start w:val="0"/>
      <w:numFmt w:val="bullet"/>
      <w:lvlText w:val="•"/>
      <w:lvlJc w:val="left"/>
      <w:pPr>
        <w:ind w:left="1868" w:hanging="215"/>
      </w:pPr>
      <w:rPr>
        <w:rFonts w:hint="default"/>
        <w:lang w:val="es-ES" w:eastAsia="en-US" w:bidi="ar-SA"/>
      </w:rPr>
    </w:lvl>
    <w:lvl w:ilvl="3" w:tentative="0">
      <w:start w:val="0"/>
      <w:numFmt w:val="bullet"/>
      <w:lvlText w:val="•"/>
      <w:lvlJc w:val="left"/>
      <w:pPr>
        <w:ind w:left="2563" w:hanging="215"/>
      </w:pPr>
      <w:rPr>
        <w:rFonts w:hint="default"/>
        <w:lang w:val="es-ES" w:eastAsia="en-US" w:bidi="ar-SA"/>
      </w:rPr>
    </w:lvl>
    <w:lvl w:ilvl="4" w:tentative="0">
      <w:start w:val="0"/>
      <w:numFmt w:val="bullet"/>
      <w:lvlText w:val="•"/>
      <w:lvlJc w:val="left"/>
      <w:pPr>
        <w:ind w:left="3257" w:hanging="215"/>
      </w:pPr>
      <w:rPr>
        <w:rFonts w:hint="default"/>
        <w:lang w:val="es-ES" w:eastAsia="en-US" w:bidi="ar-SA"/>
      </w:rPr>
    </w:lvl>
    <w:lvl w:ilvl="5" w:tentative="0">
      <w:start w:val="0"/>
      <w:numFmt w:val="bullet"/>
      <w:lvlText w:val="•"/>
      <w:lvlJc w:val="left"/>
      <w:pPr>
        <w:ind w:left="3952" w:hanging="215"/>
      </w:pPr>
      <w:rPr>
        <w:rFonts w:hint="default"/>
        <w:lang w:val="es-ES" w:eastAsia="en-US" w:bidi="ar-SA"/>
      </w:rPr>
    </w:lvl>
    <w:lvl w:ilvl="6" w:tentative="0">
      <w:start w:val="0"/>
      <w:numFmt w:val="bullet"/>
      <w:lvlText w:val="•"/>
      <w:lvlJc w:val="left"/>
      <w:pPr>
        <w:ind w:left="4646" w:hanging="215"/>
      </w:pPr>
      <w:rPr>
        <w:rFonts w:hint="default"/>
        <w:lang w:val="es-ES" w:eastAsia="en-US" w:bidi="ar-SA"/>
      </w:rPr>
    </w:lvl>
    <w:lvl w:ilvl="7" w:tentative="0">
      <w:start w:val="0"/>
      <w:numFmt w:val="bullet"/>
      <w:lvlText w:val="•"/>
      <w:lvlJc w:val="left"/>
      <w:pPr>
        <w:ind w:left="5341" w:hanging="215"/>
      </w:pPr>
      <w:rPr>
        <w:rFonts w:hint="default"/>
        <w:lang w:val="es-ES" w:eastAsia="en-US" w:bidi="ar-SA"/>
      </w:rPr>
    </w:lvl>
    <w:lvl w:ilvl="8" w:tentative="0">
      <w:start w:val="0"/>
      <w:numFmt w:val="bullet"/>
      <w:lvlText w:val="•"/>
      <w:lvlJc w:val="left"/>
      <w:pPr>
        <w:ind w:left="6035" w:hanging="215"/>
      </w:pPr>
      <w:rPr>
        <w:rFonts w:hint="default"/>
        <w:lang w:val="es-ES"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720"/>
  <w:hyphenationZone w:val="425"/>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DF6"/>
    <w:rsid w:val="0000292A"/>
    <w:rsid w:val="00015A56"/>
    <w:rsid w:val="00020153"/>
    <w:rsid w:val="00024822"/>
    <w:rsid w:val="00025ECF"/>
    <w:rsid w:val="0003576C"/>
    <w:rsid w:val="00036828"/>
    <w:rsid w:val="00040217"/>
    <w:rsid w:val="00042B25"/>
    <w:rsid w:val="000447F1"/>
    <w:rsid w:val="00045BAB"/>
    <w:rsid w:val="00047D9E"/>
    <w:rsid w:val="000640E7"/>
    <w:rsid w:val="0006471A"/>
    <w:rsid w:val="00064E31"/>
    <w:rsid w:val="00073DF3"/>
    <w:rsid w:val="0007402C"/>
    <w:rsid w:val="00076869"/>
    <w:rsid w:val="00082511"/>
    <w:rsid w:val="00094230"/>
    <w:rsid w:val="000A1906"/>
    <w:rsid w:val="000A24C3"/>
    <w:rsid w:val="000A4BF9"/>
    <w:rsid w:val="000B0A17"/>
    <w:rsid w:val="000B3E8B"/>
    <w:rsid w:val="000B480F"/>
    <w:rsid w:val="000B5A03"/>
    <w:rsid w:val="000B5E56"/>
    <w:rsid w:val="000B7375"/>
    <w:rsid w:val="000C25D9"/>
    <w:rsid w:val="000C2C26"/>
    <w:rsid w:val="000C51F6"/>
    <w:rsid w:val="000D3C5E"/>
    <w:rsid w:val="000D5634"/>
    <w:rsid w:val="000E1DC0"/>
    <w:rsid w:val="000E1F2B"/>
    <w:rsid w:val="000E6900"/>
    <w:rsid w:val="000F51AE"/>
    <w:rsid w:val="000F66E4"/>
    <w:rsid w:val="001024FC"/>
    <w:rsid w:val="001045E7"/>
    <w:rsid w:val="001129D2"/>
    <w:rsid w:val="00131DA8"/>
    <w:rsid w:val="001336D9"/>
    <w:rsid w:val="00136DCE"/>
    <w:rsid w:val="00137907"/>
    <w:rsid w:val="001512E3"/>
    <w:rsid w:val="001518E8"/>
    <w:rsid w:val="00152555"/>
    <w:rsid w:val="0015489F"/>
    <w:rsid w:val="00160633"/>
    <w:rsid w:val="00162311"/>
    <w:rsid w:val="00163A6F"/>
    <w:rsid w:val="00172A27"/>
    <w:rsid w:val="00175885"/>
    <w:rsid w:val="00177A3D"/>
    <w:rsid w:val="00177EBC"/>
    <w:rsid w:val="00181225"/>
    <w:rsid w:val="00183728"/>
    <w:rsid w:val="00187B08"/>
    <w:rsid w:val="0019200F"/>
    <w:rsid w:val="001973D9"/>
    <w:rsid w:val="001A28E0"/>
    <w:rsid w:val="001A323E"/>
    <w:rsid w:val="001A4301"/>
    <w:rsid w:val="001A691D"/>
    <w:rsid w:val="001B288B"/>
    <w:rsid w:val="001C0841"/>
    <w:rsid w:val="001C778C"/>
    <w:rsid w:val="001D2876"/>
    <w:rsid w:val="001E175F"/>
    <w:rsid w:val="001E62C3"/>
    <w:rsid w:val="001E7EAB"/>
    <w:rsid w:val="001F6D77"/>
    <w:rsid w:val="001F7DC8"/>
    <w:rsid w:val="00201C54"/>
    <w:rsid w:val="00202C92"/>
    <w:rsid w:val="00211A26"/>
    <w:rsid w:val="00212902"/>
    <w:rsid w:val="002172C9"/>
    <w:rsid w:val="00221C50"/>
    <w:rsid w:val="00222282"/>
    <w:rsid w:val="00224391"/>
    <w:rsid w:val="00225537"/>
    <w:rsid w:val="00232E08"/>
    <w:rsid w:val="002405FB"/>
    <w:rsid w:val="00244044"/>
    <w:rsid w:val="00244A39"/>
    <w:rsid w:val="002514F4"/>
    <w:rsid w:val="00253834"/>
    <w:rsid w:val="00253CA1"/>
    <w:rsid w:val="00255208"/>
    <w:rsid w:val="00267B36"/>
    <w:rsid w:val="00275B3B"/>
    <w:rsid w:val="00277392"/>
    <w:rsid w:val="002802F1"/>
    <w:rsid w:val="00281C65"/>
    <w:rsid w:val="00287D0B"/>
    <w:rsid w:val="00295C73"/>
    <w:rsid w:val="002A0F68"/>
    <w:rsid w:val="002A42B6"/>
    <w:rsid w:val="002A688C"/>
    <w:rsid w:val="002B1423"/>
    <w:rsid w:val="002C2E43"/>
    <w:rsid w:val="002C5281"/>
    <w:rsid w:val="002C7B60"/>
    <w:rsid w:val="002D0226"/>
    <w:rsid w:val="002D0F94"/>
    <w:rsid w:val="002D262B"/>
    <w:rsid w:val="002D6003"/>
    <w:rsid w:val="002E0EF2"/>
    <w:rsid w:val="002E3A7A"/>
    <w:rsid w:val="002E459F"/>
    <w:rsid w:val="002E6478"/>
    <w:rsid w:val="002F2ADB"/>
    <w:rsid w:val="002F3959"/>
    <w:rsid w:val="002F4EC5"/>
    <w:rsid w:val="00303A4F"/>
    <w:rsid w:val="00312C23"/>
    <w:rsid w:val="0031705E"/>
    <w:rsid w:val="00322F01"/>
    <w:rsid w:val="003254D3"/>
    <w:rsid w:val="00332464"/>
    <w:rsid w:val="0033360A"/>
    <w:rsid w:val="003361C0"/>
    <w:rsid w:val="0033671A"/>
    <w:rsid w:val="00340A27"/>
    <w:rsid w:val="00346218"/>
    <w:rsid w:val="00353FA5"/>
    <w:rsid w:val="00357C47"/>
    <w:rsid w:val="00357EBF"/>
    <w:rsid w:val="003603A0"/>
    <w:rsid w:val="003611F7"/>
    <w:rsid w:val="00370448"/>
    <w:rsid w:val="00371D1C"/>
    <w:rsid w:val="00383EDD"/>
    <w:rsid w:val="003968DD"/>
    <w:rsid w:val="003A2158"/>
    <w:rsid w:val="003A4BF5"/>
    <w:rsid w:val="003A58C9"/>
    <w:rsid w:val="003B2A7F"/>
    <w:rsid w:val="003C0374"/>
    <w:rsid w:val="003C17E3"/>
    <w:rsid w:val="003C1E70"/>
    <w:rsid w:val="003D6078"/>
    <w:rsid w:val="003E5E87"/>
    <w:rsid w:val="003E63CB"/>
    <w:rsid w:val="003E6A0C"/>
    <w:rsid w:val="003F28BD"/>
    <w:rsid w:val="003F570F"/>
    <w:rsid w:val="00403292"/>
    <w:rsid w:val="00404299"/>
    <w:rsid w:val="00411C4F"/>
    <w:rsid w:val="004146DF"/>
    <w:rsid w:val="00420B12"/>
    <w:rsid w:val="00420CBA"/>
    <w:rsid w:val="004249A5"/>
    <w:rsid w:val="00424B12"/>
    <w:rsid w:val="0042747B"/>
    <w:rsid w:val="00436BCE"/>
    <w:rsid w:val="004375F4"/>
    <w:rsid w:val="00442881"/>
    <w:rsid w:val="0044336B"/>
    <w:rsid w:val="00451AEE"/>
    <w:rsid w:val="00453A29"/>
    <w:rsid w:val="004557CC"/>
    <w:rsid w:val="00465C17"/>
    <w:rsid w:val="00467DC9"/>
    <w:rsid w:val="00473EC5"/>
    <w:rsid w:val="00477A83"/>
    <w:rsid w:val="00480D73"/>
    <w:rsid w:val="00481739"/>
    <w:rsid w:val="00484B4C"/>
    <w:rsid w:val="00484FF0"/>
    <w:rsid w:val="00492A92"/>
    <w:rsid w:val="00492ADD"/>
    <w:rsid w:val="004934C9"/>
    <w:rsid w:val="004969EB"/>
    <w:rsid w:val="004A4E4B"/>
    <w:rsid w:val="004A4EA5"/>
    <w:rsid w:val="004A69CA"/>
    <w:rsid w:val="004B05EE"/>
    <w:rsid w:val="004B31E4"/>
    <w:rsid w:val="004B69A2"/>
    <w:rsid w:val="004B69E6"/>
    <w:rsid w:val="004C0041"/>
    <w:rsid w:val="004C5023"/>
    <w:rsid w:val="004D42E7"/>
    <w:rsid w:val="004E14AC"/>
    <w:rsid w:val="004E3286"/>
    <w:rsid w:val="004E33FB"/>
    <w:rsid w:val="004E4D99"/>
    <w:rsid w:val="004F3590"/>
    <w:rsid w:val="004F63A3"/>
    <w:rsid w:val="0050636C"/>
    <w:rsid w:val="00506DB5"/>
    <w:rsid w:val="0051472F"/>
    <w:rsid w:val="0052212A"/>
    <w:rsid w:val="00522214"/>
    <w:rsid w:val="00523AE4"/>
    <w:rsid w:val="00524E72"/>
    <w:rsid w:val="0052791D"/>
    <w:rsid w:val="005343AB"/>
    <w:rsid w:val="005362D3"/>
    <w:rsid w:val="00547CAE"/>
    <w:rsid w:val="00553E5E"/>
    <w:rsid w:val="005606BA"/>
    <w:rsid w:val="0056109D"/>
    <w:rsid w:val="0056420B"/>
    <w:rsid w:val="00566138"/>
    <w:rsid w:val="00571362"/>
    <w:rsid w:val="0057566C"/>
    <w:rsid w:val="005906C2"/>
    <w:rsid w:val="00591C95"/>
    <w:rsid w:val="00594466"/>
    <w:rsid w:val="005A35F5"/>
    <w:rsid w:val="005A6727"/>
    <w:rsid w:val="005B160A"/>
    <w:rsid w:val="005B33FF"/>
    <w:rsid w:val="005C01B9"/>
    <w:rsid w:val="005C0C87"/>
    <w:rsid w:val="005C5965"/>
    <w:rsid w:val="005C78E3"/>
    <w:rsid w:val="005D5E72"/>
    <w:rsid w:val="005F4083"/>
    <w:rsid w:val="005F5858"/>
    <w:rsid w:val="005F6BA3"/>
    <w:rsid w:val="006043B9"/>
    <w:rsid w:val="00605F34"/>
    <w:rsid w:val="006106CE"/>
    <w:rsid w:val="00611277"/>
    <w:rsid w:val="00612263"/>
    <w:rsid w:val="00613EAE"/>
    <w:rsid w:val="0061759B"/>
    <w:rsid w:val="00617B16"/>
    <w:rsid w:val="00620DC8"/>
    <w:rsid w:val="00621F60"/>
    <w:rsid w:val="00624C24"/>
    <w:rsid w:val="00627B82"/>
    <w:rsid w:val="006312AD"/>
    <w:rsid w:val="00632A1D"/>
    <w:rsid w:val="006346F4"/>
    <w:rsid w:val="0063564A"/>
    <w:rsid w:val="0064321F"/>
    <w:rsid w:val="0064795C"/>
    <w:rsid w:val="00647F54"/>
    <w:rsid w:val="006511C3"/>
    <w:rsid w:val="0065179B"/>
    <w:rsid w:val="0065295C"/>
    <w:rsid w:val="00653621"/>
    <w:rsid w:val="00660B71"/>
    <w:rsid w:val="00662142"/>
    <w:rsid w:val="00676EAF"/>
    <w:rsid w:val="00683E68"/>
    <w:rsid w:val="0069468A"/>
    <w:rsid w:val="00696E28"/>
    <w:rsid w:val="006975CA"/>
    <w:rsid w:val="006A1E5A"/>
    <w:rsid w:val="006A633C"/>
    <w:rsid w:val="006B5B38"/>
    <w:rsid w:val="006B6C97"/>
    <w:rsid w:val="006B78AF"/>
    <w:rsid w:val="006E0341"/>
    <w:rsid w:val="006E35DD"/>
    <w:rsid w:val="006E6EDD"/>
    <w:rsid w:val="006F2EAB"/>
    <w:rsid w:val="006F4522"/>
    <w:rsid w:val="006F617D"/>
    <w:rsid w:val="00701B12"/>
    <w:rsid w:val="007045B2"/>
    <w:rsid w:val="00706414"/>
    <w:rsid w:val="00706835"/>
    <w:rsid w:val="00706C48"/>
    <w:rsid w:val="00707B27"/>
    <w:rsid w:val="0071045F"/>
    <w:rsid w:val="0071144E"/>
    <w:rsid w:val="00712D17"/>
    <w:rsid w:val="007151C2"/>
    <w:rsid w:val="00723FA8"/>
    <w:rsid w:val="00725108"/>
    <w:rsid w:val="00726D46"/>
    <w:rsid w:val="00732CD4"/>
    <w:rsid w:val="007360E3"/>
    <w:rsid w:val="007362D9"/>
    <w:rsid w:val="00741EA8"/>
    <w:rsid w:val="0074536E"/>
    <w:rsid w:val="007518AC"/>
    <w:rsid w:val="0075367E"/>
    <w:rsid w:val="00756CB4"/>
    <w:rsid w:val="00763DDE"/>
    <w:rsid w:val="00764B55"/>
    <w:rsid w:val="00775E03"/>
    <w:rsid w:val="00784554"/>
    <w:rsid w:val="007865C8"/>
    <w:rsid w:val="007905CF"/>
    <w:rsid w:val="007925DA"/>
    <w:rsid w:val="0079483D"/>
    <w:rsid w:val="00795E83"/>
    <w:rsid w:val="00797AA6"/>
    <w:rsid w:val="007A1CFE"/>
    <w:rsid w:val="007A5FC8"/>
    <w:rsid w:val="007A7CAC"/>
    <w:rsid w:val="007B1115"/>
    <w:rsid w:val="007B185F"/>
    <w:rsid w:val="007B449D"/>
    <w:rsid w:val="007B77DA"/>
    <w:rsid w:val="007B78AC"/>
    <w:rsid w:val="007C56C4"/>
    <w:rsid w:val="007C606F"/>
    <w:rsid w:val="007D49A6"/>
    <w:rsid w:val="007D581E"/>
    <w:rsid w:val="007E69BD"/>
    <w:rsid w:val="007F274A"/>
    <w:rsid w:val="007F2CA0"/>
    <w:rsid w:val="007F5AAB"/>
    <w:rsid w:val="007F678B"/>
    <w:rsid w:val="00812107"/>
    <w:rsid w:val="0081266C"/>
    <w:rsid w:val="00812CF3"/>
    <w:rsid w:val="00816175"/>
    <w:rsid w:val="008168A0"/>
    <w:rsid w:val="00816D88"/>
    <w:rsid w:val="00820625"/>
    <w:rsid w:val="008219CF"/>
    <w:rsid w:val="00822BE0"/>
    <w:rsid w:val="00824BE3"/>
    <w:rsid w:val="00830756"/>
    <w:rsid w:val="00834664"/>
    <w:rsid w:val="00835C33"/>
    <w:rsid w:val="00836880"/>
    <w:rsid w:val="00837067"/>
    <w:rsid w:val="00841D1B"/>
    <w:rsid w:val="00843974"/>
    <w:rsid w:val="008538CE"/>
    <w:rsid w:val="008538FC"/>
    <w:rsid w:val="00855420"/>
    <w:rsid w:val="00856D75"/>
    <w:rsid w:val="0086120D"/>
    <w:rsid w:val="00866562"/>
    <w:rsid w:val="008675AC"/>
    <w:rsid w:val="00870C3C"/>
    <w:rsid w:val="00871CA0"/>
    <w:rsid w:val="008734C3"/>
    <w:rsid w:val="00874FAC"/>
    <w:rsid w:val="00891A69"/>
    <w:rsid w:val="00892B5B"/>
    <w:rsid w:val="0089306D"/>
    <w:rsid w:val="008950C5"/>
    <w:rsid w:val="008A02A6"/>
    <w:rsid w:val="008A78D4"/>
    <w:rsid w:val="008B0390"/>
    <w:rsid w:val="008B1411"/>
    <w:rsid w:val="008B1E31"/>
    <w:rsid w:val="008B241D"/>
    <w:rsid w:val="008B3908"/>
    <w:rsid w:val="008B68B0"/>
    <w:rsid w:val="008C0A9B"/>
    <w:rsid w:val="008C36A6"/>
    <w:rsid w:val="008C48CF"/>
    <w:rsid w:val="008C5FA6"/>
    <w:rsid w:val="008C7E5B"/>
    <w:rsid w:val="008D170D"/>
    <w:rsid w:val="008D6508"/>
    <w:rsid w:val="008E24F6"/>
    <w:rsid w:val="008E34E9"/>
    <w:rsid w:val="008E7C73"/>
    <w:rsid w:val="008F00F8"/>
    <w:rsid w:val="008F0932"/>
    <w:rsid w:val="008F6496"/>
    <w:rsid w:val="00901C2F"/>
    <w:rsid w:val="009050E1"/>
    <w:rsid w:val="00917185"/>
    <w:rsid w:val="00921395"/>
    <w:rsid w:val="00921685"/>
    <w:rsid w:val="00926640"/>
    <w:rsid w:val="00933E8F"/>
    <w:rsid w:val="009365F6"/>
    <w:rsid w:val="0094066C"/>
    <w:rsid w:val="009436E6"/>
    <w:rsid w:val="00952347"/>
    <w:rsid w:val="00953011"/>
    <w:rsid w:val="00960A91"/>
    <w:rsid w:val="00961A69"/>
    <w:rsid w:val="00962B8E"/>
    <w:rsid w:val="0096320D"/>
    <w:rsid w:val="009717BF"/>
    <w:rsid w:val="00972131"/>
    <w:rsid w:val="00972B32"/>
    <w:rsid w:val="00975254"/>
    <w:rsid w:val="00982D38"/>
    <w:rsid w:val="00990B96"/>
    <w:rsid w:val="009923A6"/>
    <w:rsid w:val="00995528"/>
    <w:rsid w:val="009958F1"/>
    <w:rsid w:val="009A43BC"/>
    <w:rsid w:val="009A5C0B"/>
    <w:rsid w:val="009B1868"/>
    <w:rsid w:val="009B1B01"/>
    <w:rsid w:val="009C1219"/>
    <w:rsid w:val="009C453D"/>
    <w:rsid w:val="009D0DCE"/>
    <w:rsid w:val="009D6164"/>
    <w:rsid w:val="009D703D"/>
    <w:rsid w:val="009D733A"/>
    <w:rsid w:val="009D7458"/>
    <w:rsid w:val="009F3182"/>
    <w:rsid w:val="009F5BDA"/>
    <w:rsid w:val="00A061F8"/>
    <w:rsid w:val="00A14755"/>
    <w:rsid w:val="00A23B12"/>
    <w:rsid w:val="00A25741"/>
    <w:rsid w:val="00A25AB0"/>
    <w:rsid w:val="00A26BBC"/>
    <w:rsid w:val="00A27150"/>
    <w:rsid w:val="00A336CB"/>
    <w:rsid w:val="00A36EA7"/>
    <w:rsid w:val="00A41D59"/>
    <w:rsid w:val="00A45705"/>
    <w:rsid w:val="00A5171C"/>
    <w:rsid w:val="00A535E4"/>
    <w:rsid w:val="00A53C8B"/>
    <w:rsid w:val="00A62571"/>
    <w:rsid w:val="00A659D7"/>
    <w:rsid w:val="00A70F58"/>
    <w:rsid w:val="00A7184F"/>
    <w:rsid w:val="00A729EB"/>
    <w:rsid w:val="00A72FD5"/>
    <w:rsid w:val="00A75BCB"/>
    <w:rsid w:val="00A81938"/>
    <w:rsid w:val="00A85421"/>
    <w:rsid w:val="00A85435"/>
    <w:rsid w:val="00A85A68"/>
    <w:rsid w:val="00A9106F"/>
    <w:rsid w:val="00A94150"/>
    <w:rsid w:val="00A9514D"/>
    <w:rsid w:val="00A96F16"/>
    <w:rsid w:val="00A976E3"/>
    <w:rsid w:val="00AA5DB7"/>
    <w:rsid w:val="00AA6F04"/>
    <w:rsid w:val="00AB1A15"/>
    <w:rsid w:val="00AB2E3A"/>
    <w:rsid w:val="00AC2C05"/>
    <w:rsid w:val="00AE44F1"/>
    <w:rsid w:val="00AE6108"/>
    <w:rsid w:val="00AE6A8E"/>
    <w:rsid w:val="00B03556"/>
    <w:rsid w:val="00B051F7"/>
    <w:rsid w:val="00B06626"/>
    <w:rsid w:val="00B11453"/>
    <w:rsid w:val="00B13157"/>
    <w:rsid w:val="00B1368B"/>
    <w:rsid w:val="00B17555"/>
    <w:rsid w:val="00B21F80"/>
    <w:rsid w:val="00B256AA"/>
    <w:rsid w:val="00B2603A"/>
    <w:rsid w:val="00B30963"/>
    <w:rsid w:val="00B34D75"/>
    <w:rsid w:val="00B35F5B"/>
    <w:rsid w:val="00B370CF"/>
    <w:rsid w:val="00B508CF"/>
    <w:rsid w:val="00B51E1C"/>
    <w:rsid w:val="00B547AC"/>
    <w:rsid w:val="00B61736"/>
    <w:rsid w:val="00B65649"/>
    <w:rsid w:val="00B70402"/>
    <w:rsid w:val="00B7114F"/>
    <w:rsid w:val="00B71D18"/>
    <w:rsid w:val="00B732DD"/>
    <w:rsid w:val="00B80BAA"/>
    <w:rsid w:val="00B81330"/>
    <w:rsid w:val="00B84EEC"/>
    <w:rsid w:val="00B86592"/>
    <w:rsid w:val="00B908C1"/>
    <w:rsid w:val="00BA03FE"/>
    <w:rsid w:val="00BA4755"/>
    <w:rsid w:val="00BB0757"/>
    <w:rsid w:val="00BB2BB4"/>
    <w:rsid w:val="00BB4EEC"/>
    <w:rsid w:val="00BB544D"/>
    <w:rsid w:val="00BC455B"/>
    <w:rsid w:val="00BD20D2"/>
    <w:rsid w:val="00BD4CC4"/>
    <w:rsid w:val="00BD508A"/>
    <w:rsid w:val="00BD5B39"/>
    <w:rsid w:val="00BD6122"/>
    <w:rsid w:val="00BD6209"/>
    <w:rsid w:val="00BD73C8"/>
    <w:rsid w:val="00BE46D9"/>
    <w:rsid w:val="00BE47EF"/>
    <w:rsid w:val="00BE7AFC"/>
    <w:rsid w:val="00BF40BA"/>
    <w:rsid w:val="00C022B4"/>
    <w:rsid w:val="00C052A1"/>
    <w:rsid w:val="00C10CEC"/>
    <w:rsid w:val="00C11CCB"/>
    <w:rsid w:val="00C123F9"/>
    <w:rsid w:val="00C13782"/>
    <w:rsid w:val="00C15CBE"/>
    <w:rsid w:val="00C240D3"/>
    <w:rsid w:val="00C25597"/>
    <w:rsid w:val="00C308C5"/>
    <w:rsid w:val="00C317A4"/>
    <w:rsid w:val="00C32E87"/>
    <w:rsid w:val="00C41D47"/>
    <w:rsid w:val="00C44B26"/>
    <w:rsid w:val="00C552A1"/>
    <w:rsid w:val="00C659F1"/>
    <w:rsid w:val="00C665B7"/>
    <w:rsid w:val="00C7544E"/>
    <w:rsid w:val="00C845C0"/>
    <w:rsid w:val="00C8567D"/>
    <w:rsid w:val="00C85700"/>
    <w:rsid w:val="00C86182"/>
    <w:rsid w:val="00C872E0"/>
    <w:rsid w:val="00C956CD"/>
    <w:rsid w:val="00CA546D"/>
    <w:rsid w:val="00CA549E"/>
    <w:rsid w:val="00CB1497"/>
    <w:rsid w:val="00CB15CA"/>
    <w:rsid w:val="00CB413C"/>
    <w:rsid w:val="00CB5243"/>
    <w:rsid w:val="00CB6094"/>
    <w:rsid w:val="00CC1935"/>
    <w:rsid w:val="00CD1D10"/>
    <w:rsid w:val="00CD32ED"/>
    <w:rsid w:val="00CD59E6"/>
    <w:rsid w:val="00CE0025"/>
    <w:rsid w:val="00CE0A29"/>
    <w:rsid w:val="00CE0D69"/>
    <w:rsid w:val="00CE2A20"/>
    <w:rsid w:val="00CE6CE1"/>
    <w:rsid w:val="00CF35BC"/>
    <w:rsid w:val="00CF481A"/>
    <w:rsid w:val="00CF5F57"/>
    <w:rsid w:val="00D078F7"/>
    <w:rsid w:val="00D16A7C"/>
    <w:rsid w:val="00D16AFA"/>
    <w:rsid w:val="00D2137B"/>
    <w:rsid w:val="00D2544D"/>
    <w:rsid w:val="00D25A8F"/>
    <w:rsid w:val="00D25DD3"/>
    <w:rsid w:val="00D26DC6"/>
    <w:rsid w:val="00D270B3"/>
    <w:rsid w:val="00D27E19"/>
    <w:rsid w:val="00D30542"/>
    <w:rsid w:val="00D33D86"/>
    <w:rsid w:val="00D35392"/>
    <w:rsid w:val="00D3649D"/>
    <w:rsid w:val="00D507C8"/>
    <w:rsid w:val="00D55B0F"/>
    <w:rsid w:val="00D5703B"/>
    <w:rsid w:val="00D5722F"/>
    <w:rsid w:val="00D62277"/>
    <w:rsid w:val="00D622C6"/>
    <w:rsid w:val="00D64207"/>
    <w:rsid w:val="00D7270F"/>
    <w:rsid w:val="00D73333"/>
    <w:rsid w:val="00D76323"/>
    <w:rsid w:val="00D8098C"/>
    <w:rsid w:val="00D827DB"/>
    <w:rsid w:val="00D85677"/>
    <w:rsid w:val="00D86098"/>
    <w:rsid w:val="00D866C5"/>
    <w:rsid w:val="00D867B1"/>
    <w:rsid w:val="00D91444"/>
    <w:rsid w:val="00D94278"/>
    <w:rsid w:val="00D94A44"/>
    <w:rsid w:val="00DA04F8"/>
    <w:rsid w:val="00DA07BF"/>
    <w:rsid w:val="00DA25BD"/>
    <w:rsid w:val="00DA3408"/>
    <w:rsid w:val="00DA4A71"/>
    <w:rsid w:val="00DA5F8A"/>
    <w:rsid w:val="00DB0093"/>
    <w:rsid w:val="00DB0378"/>
    <w:rsid w:val="00DB1F59"/>
    <w:rsid w:val="00DB22A2"/>
    <w:rsid w:val="00DB28AC"/>
    <w:rsid w:val="00DB2F9D"/>
    <w:rsid w:val="00DB3321"/>
    <w:rsid w:val="00DB7406"/>
    <w:rsid w:val="00DB7D89"/>
    <w:rsid w:val="00DC0E1F"/>
    <w:rsid w:val="00DC2CA8"/>
    <w:rsid w:val="00DD2581"/>
    <w:rsid w:val="00DD3EEB"/>
    <w:rsid w:val="00DD6E34"/>
    <w:rsid w:val="00DD6ECA"/>
    <w:rsid w:val="00DE28A7"/>
    <w:rsid w:val="00DE6924"/>
    <w:rsid w:val="00DF0698"/>
    <w:rsid w:val="00DF1E22"/>
    <w:rsid w:val="00DF25AA"/>
    <w:rsid w:val="00DF476C"/>
    <w:rsid w:val="00DF613A"/>
    <w:rsid w:val="00DF6EB0"/>
    <w:rsid w:val="00DF7271"/>
    <w:rsid w:val="00E02850"/>
    <w:rsid w:val="00E059FB"/>
    <w:rsid w:val="00E06080"/>
    <w:rsid w:val="00E137BA"/>
    <w:rsid w:val="00E13E1C"/>
    <w:rsid w:val="00E14879"/>
    <w:rsid w:val="00E14E73"/>
    <w:rsid w:val="00E1738C"/>
    <w:rsid w:val="00E2243D"/>
    <w:rsid w:val="00E238ED"/>
    <w:rsid w:val="00E279FD"/>
    <w:rsid w:val="00E27B41"/>
    <w:rsid w:val="00E35FFE"/>
    <w:rsid w:val="00E4398C"/>
    <w:rsid w:val="00E505EF"/>
    <w:rsid w:val="00E51E08"/>
    <w:rsid w:val="00E5763E"/>
    <w:rsid w:val="00E57EBF"/>
    <w:rsid w:val="00E61A69"/>
    <w:rsid w:val="00E62688"/>
    <w:rsid w:val="00E62DCF"/>
    <w:rsid w:val="00E66C4D"/>
    <w:rsid w:val="00E66E84"/>
    <w:rsid w:val="00E67D08"/>
    <w:rsid w:val="00E67F71"/>
    <w:rsid w:val="00E72560"/>
    <w:rsid w:val="00E74800"/>
    <w:rsid w:val="00E75922"/>
    <w:rsid w:val="00E85BE6"/>
    <w:rsid w:val="00E87B8A"/>
    <w:rsid w:val="00E87BD4"/>
    <w:rsid w:val="00E900F4"/>
    <w:rsid w:val="00E904F3"/>
    <w:rsid w:val="00E92C33"/>
    <w:rsid w:val="00E96722"/>
    <w:rsid w:val="00E97054"/>
    <w:rsid w:val="00E97C06"/>
    <w:rsid w:val="00EA27F9"/>
    <w:rsid w:val="00EA3A93"/>
    <w:rsid w:val="00EA4450"/>
    <w:rsid w:val="00EB32A7"/>
    <w:rsid w:val="00EB78FE"/>
    <w:rsid w:val="00ED04B5"/>
    <w:rsid w:val="00ED05F1"/>
    <w:rsid w:val="00ED2568"/>
    <w:rsid w:val="00ED2D54"/>
    <w:rsid w:val="00ED62D1"/>
    <w:rsid w:val="00EE5C6E"/>
    <w:rsid w:val="00EF0520"/>
    <w:rsid w:val="00EF479F"/>
    <w:rsid w:val="00F00CA2"/>
    <w:rsid w:val="00F176EA"/>
    <w:rsid w:val="00F17741"/>
    <w:rsid w:val="00F17A05"/>
    <w:rsid w:val="00F20BE1"/>
    <w:rsid w:val="00F34029"/>
    <w:rsid w:val="00F3625C"/>
    <w:rsid w:val="00F37C1B"/>
    <w:rsid w:val="00F435B5"/>
    <w:rsid w:val="00F507F5"/>
    <w:rsid w:val="00F50C6D"/>
    <w:rsid w:val="00F613BA"/>
    <w:rsid w:val="00F66E2F"/>
    <w:rsid w:val="00F7149A"/>
    <w:rsid w:val="00F74BDD"/>
    <w:rsid w:val="00F75155"/>
    <w:rsid w:val="00F7592C"/>
    <w:rsid w:val="00F76C97"/>
    <w:rsid w:val="00F7700C"/>
    <w:rsid w:val="00F7730A"/>
    <w:rsid w:val="00F815C2"/>
    <w:rsid w:val="00F82373"/>
    <w:rsid w:val="00F8297F"/>
    <w:rsid w:val="00F831D8"/>
    <w:rsid w:val="00F83484"/>
    <w:rsid w:val="00F865CD"/>
    <w:rsid w:val="00F93EF0"/>
    <w:rsid w:val="00F962E1"/>
    <w:rsid w:val="00F97BEE"/>
    <w:rsid w:val="00FA20EC"/>
    <w:rsid w:val="00FB1472"/>
    <w:rsid w:val="00FB309B"/>
    <w:rsid w:val="00FC103A"/>
    <w:rsid w:val="00FC24EC"/>
    <w:rsid w:val="00FC414C"/>
    <w:rsid w:val="00FC61BA"/>
    <w:rsid w:val="00FD0F0A"/>
    <w:rsid w:val="00FD3865"/>
    <w:rsid w:val="00FD393A"/>
    <w:rsid w:val="00FD4DB5"/>
    <w:rsid w:val="00FD5787"/>
    <w:rsid w:val="00FE3E0C"/>
    <w:rsid w:val="00FE4557"/>
    <w:rsid w:val="00FE4C48"/>
    <w:rsid w:val="00FE4FF5"/>
    <w:rsid w:val="00FF4042"/>
    <w:rsid w:val="01072840"/>
    <w:rsid w:val="0123016A"/>
    <w:rsid w:val="019D1E78"/>
    <w:rsid w:val="02061D0C"/>
    <w:rsid w:val="02681163"/>
    <w:rsid w:val="02A255CF"/>
    <w:rsid w:val="02CD6F6B"/>
    <w:rsid w:val="03032A4D"/>
    <w:rsid w:val="03416E2C"/>
    <w:rsid w:val="03EC2655"/>
    <w:rsid w:val="04F876E8"/>
    <w:rsid w:val="05176E59"/>
    <w:rsid w:val="05963833"/>
    <w:rsid w:val="05E91C83"/>
    <w:rsid w:val="061C692E"/>
    <w:rsid w:val="0623371F"/>
    <w:rsid w:val="064E5FFA"/>
    <w:rsid w:val="078F08E6"/>
    <w:rsid w:val="079D5889"/>
    <w:rsid w:val="07C147C6"/>
    <w:rsid w:val="07DC2DF1"/>
    <w:rsid w:val="08402B15"/>
    <w:rsid w:val="084B048A"/>
    <w:rsid w:val="084F3BC1"/>
    <w:rsid w:val="0911305E"/>
    <w:rsid w:val="09D47AB5"/>
    <w:rsid w:val="09D92A96"/>
    <w:rsid w:val="0AE36CDD"/>
    <w:rsid w:val="0B2A7348"/>
    <w:rsid w:val="0B4E021A"/>
    <w:rsid w:val="0B58481B"/>
    <w:rsid w:val="0BAC2C8F"/>
    <w:rsid w:val="0BEB6638"/>
    <w:rsid w:val="0BEC0FB0"/>
    <w:rsid w:val="0C5F36A0"/>
    <w:rsid w:val="0C777BE1"/>
    <w:rsid w:val="0CA32AED"/>
    <w:rsid w:val="0CCE5720"/>
    <w:rsid w:val="0D3338EF"/>
    <w:rsid w:val="0D3516D8"/>
    <w:rsid w:val="0DCB05E4"/>
    <w:rsid w:val="0DCB3545"/>
    <w:rsid w:val="0E092C26"/>
    <w:rsid w:val="0E5719AC"/>
    <w:rsid w:val="0EA02E79"/>
    <w:rsid w:val="0F5D6120"/>
    <w:rsid w:val="10515C17"/>
    <w:rsid w:val="10631328"/>
    <w:rsid w:val="109D63FC"/>
    <w:rsid w:val="10A07FF3"/>
    <w:rsid w:val="11AB585A"/>
    <w:rsid w:val="11E151EC"/>
    <w:rsid w:val="13CC673D"/>
    <w:rsid w:val="13E34020"/>
    <w:rsid w:val="14382AF5"/>
    <w:rsid w:val="154F17FE"/>
    <w:rsid w:val="15BE3E41"/>
    <w:rsid w:val="15D06FEF"/>
    <w:rsid w:val="17330ABC"/>
    <w:rsid w:val="17394A28"/>
    <w:rsid w:val="173D6E5E"/>
    <w:rsid w:val="17454BDC"/>
    <w:rsid w:val="17517FFB"/>
    <w:rsid w:val="17A9019B"/>
    <w:rsid w:val="17B50B24"/>
    <w:rsid w:val="17DA45B1"/>
    <w:rsid w:val="18DF73E8"/>
    <w:rsid w:val="197A7E49"/>
    <w:rsid w:val="19B108EA"/>
    <w:rsid w:val="19EF056A"/>
    <w:rsid w:val="1A1658ED"/>
    <w:rsid w:val="1A5C7310"/>
    <w:rsid w:val="1A696D42"/>
    <w:rsid w:val="1C1A2D90"/>
    <w:rsid w:val="1C3A0FB0"/>
    <w:rsid w:val="1C58188D"/>
    <w:rsid w:val="1C751F64"/>
    <w:rsid w:val="1CCC6230"/>
    <w:rsid w:val="1D141108"/>
    <w:rsid w:val="1DAB515A"/>
    <w:rsid w:val="1E117526"/>
    <w:rsid w:val="1EE47F3C"/>
    <w:rsid w:val="1F8832D3"/>
    <w:rsid w:val="1FB1751D"/>
    <w:rsid w:val="1FC4484B"/>
    <w:rsid w:val="20201EC2"/>
    <w:rsid w:val="202B0253"/>
    <w:rsid w:val="20B56ABB"/>
    <w:rsid w:val="21CE62AA"/>
    <w:rsid w:val="21EE663B"/>
    <w:rsid w:val="221E17C3"/>
    <w:rsid w:val="226466B1"/>
    <w:rsid w:val="22E06A62"/>
    <w:rsid w:val="23386898"/>
    <w:rsid w:val="23674E27"/>
    <w:rsid w:val="259F09CC"/>
    <w:rsid w:val="25DB2266"/>
    <w:rsid w:val="25E95B58"/>
    <w:rsid w:val="270E11CB"/>
    <w:rsid w:val="277F117F"/>
    <w:rsid w:val="27C63E8F"/>
    <w:rsid w:val="28E26DFF"/>
    <w:rsid w:val="28ED188F"/>
    <w:rsid w:val="293B3E65"/>
    <w:rsid w:val="296343E4"/>
    <w:rsid w:val="29C83860"/>
    <w:rsid w:val="2A1A4970"/>
    <w:rsid w:val="2A1F51C5"/>
    <w:rsid w:val="2AE25969"/>
    <w:rsid w:val="2B35340D"/>
    <w:rsid w:val="2B727C26"/>
    <w:rsid w:val="2BC569D9"/>
    <w:rsid w:val="2BD8717A"/>
    <w:rsid w:val="2D765143"/>
    <w:rsid w:val="2DAD667A"/>
    <w:rsid w:val="2DBE7952"/>
    <w:rsid w:val="2DDC3202"/>
    <w:rsid w:val="2EC62080"/>
    <w:rsid w:val="2ECE4FDA"/>
    <w:rsid w:val="2ED36EE3"/>
    <w:rsid w:val="2EFE705D"/>
    <w:rsid w:val="2F8C1ED1"/>
    <w:rsid w:val="2FE6448A"/>
    <w:rsid w:val="302B7B04"/>
    <w:rsid w:val="30EB225D"/>
    <w:rsid w:val="31465714"/>
    <w:rsid w:val="31EC2AA8"/>
    <w:rsid w:val="32E77514"/>
    <w:rsid w:val="33B64D72"/>
    <w:rsid w:val="33CB7B6C"/>
    <w:rsid w:val="34241BD4"/>
    <w:rsid w:val="348D1F43"/>
    <w:rsid w:val="349B45FD"/>
    <w:rsid w:val="35565314"/>
    <w:rsid w:val="359B4CAC"/>
    <w:rsid w:val="35F5319C"/>
    <w:rsid w:val="361374C5"/>
    <w:rsid w:val="36C843DD"/>
    <w:rsid w:val="370F216E"/>
    <w:rsid w:val="3710324E"/>
    <w:rsid w:val="3720250A"/>
    <w:rsid w:val="37C76E81"/>
    <w:rsid w:val="387A3DF1"/>
    <w:rsid w:val="389E6B6E"/>
    <w:rsid w:val="39416F95"/>
    <w:rsid w:val="39545ACE"/>
    <w:rsid w:val="397F3598"/>
    <w:rsid w:val="3A0A3CDA"/>
    <w:rsid w:val="3A0F7763"/>
    <w:rsid w:val="3A6422E4"/>
    <w:rsid w:val="3B4B0D56"/>
    <w:rsid w:val="3B8A781E"/>
    <w:rsid w:val="3BA92612"/>
    <w:rsid w:val="3C3D7F7A"/>
    <w:rsid w:val="3C636CAC"/>
    <w:rsid w:val="3D1753B2"/>
    <w:rsid w:val="3D54720B"/>
    <w:rsid w:val="3F99601A"/>
    <w:rsid w:val="3FD85E5F"/>
    <w:rsid w:val="3FFF5C4F"/>
    <w:rsid w:val="40436823"/>
    <w:rsid w:val="4046132B"/>
    <w:rsid w:val="409C0758"/>
    <w:rsid w:val="40C739F3"/>
    <w:rsid w:val="42CB6BCE"/>
    <w:rsid w:val="432021DB"/>
    <w:rsid w:val="44524D55"/>
    <w:rsid w:val="4588231F"/>
    <w:rsid w:val="46BC5EDB"/>
    <w:rsid w:val="46F16118"/>
    <w:rsid w:val="4709033C"/>
    <w:rsid w:val="47267D70"/>
    <w:rsid w:val="47E16706"/>
    <w:rsid w:val="483F56E5"/>
    <w:rsid w:val="48614D4D"/>
    <w:rsid w:val="49340FF6"/>
    <w:rsid w:val="4A5D7BD7"/>
    <w:rsid w:val="4AE32642"/>
    <w:rsid w:val="4B137364"/>
    <w:rsid w:val="4B9B7E9A"/>
    <w:rsid w:val="4CE15078"/>
    <w:rsid w:val="4CE950BA"/>
    <w:rsid w:val="4D5C793F"/>
    <w:rsid w:val="4DA4017C"/>
    <w:rsid w:val="4DC45D22"/>
    <w:rsid w:val="4DE30B55"/>
    <w:rsid w:val="4E2F07EB"/>
    <w:rsid w:val="4F3A6B88"/>
    <w:rsid w:val="4F981115"/>
    <w:rsid w:val="505F1250"/>
    <w:rsid w:val="50842C69"/>
    <w:rsid w:val="50CF4A20"/>
    <w:rsid w:val="51645619"/>
    <w:rsid w:val="52DA6711"/>
    <w:rsid w:val="53C71B74"/>
    <w:rsid w:val="54152AC7"/>
    <w:rsid w:val="547658B9"/>
    <w:rsid w:val="55065290"/>
    <w:rsid w:val="55594392"/>
    <w:rsid w:val="55BC34F3"/>
    <w:rsid w:val="55C27A0C"/>
    <w:rsid w:val="55C63470"/>
    <w:rsid w:val="561450A1"/>
    <w:rsid w:val="56483EE4"/>
    <w:rsid w:val="56921EF6"/>
    <w:rsid w:val="56F046D1"/>
    <w:rsid w:val="5729188C"/>
    <w:rsid w:val="577F481A"/>
    <w:rsid w:val="5785402A"/>
    <w:rsid w:val="58565419"/>
    <w:rsid w:val="5891193F"/>
    <w:rsid w:val="59467D9F"/>
    <w:rsid w:val="59CC2D88"/>
    <w:rsid w:val="5A7F3E17"/>
    <w:rsid w:val="5AA86531"/>
    <w:rsid w:val="5ABE2FC1"/>
    <w:rsid w:val="5B2D07A3"/>
    <w:rsid w:val="5C9A2E8E"/>
    <w:rsid w:val="5CF14D92"/>
    <w:rsid w:val="5D3F3829"/>
    <w:rsid w:val="5E9856F8"/>
    <w:rsid w:val="5ED452B9"/>
    <w:rsid w:val="5F5B5FD6"/>
    <w:rsid w:val="5F5C60BA"/>
    <w:rsid w:val="61CB5DE4"/>
    <w:rsid w:val="61EB6AF8"/>
    <w:rsid w:val="622B684B"/>
    <w:rsid w:val="62FC7653"/>
    <w:rsid w:val="63397A83"/>
    <w:rsid w:val="64607BA9"/>
    <w:rsid w:val="647A197B"/>
    <w:rsid w:val="648E34A6"/>
    <w:rsid w:val="64915201"/>
    <w:rsid w:val="65355189"/>
    <w:rsid w:val="6537031E"/>
    <w:rsid w:val="657A50D6"/>
    <w:rsid w:val="65C729EC"/>
    <w:rsid w:val="66F132CF"/>
    <w:rsid w:val="66F65410"/>
    <w:rsid w:val="67662B31"/>
    <w:rsid w:val="68231C2E"/>
    <w:rsid w:val="68FA0798"/>
    <w:rsid w:val="69705069"/>
    <w:rsid w:val="69B0370A"/>
    <w:rsid w:val="6A0E178B"/>
    <w:rsid w:val="6AC65098"/>
    <w:rsid w:val="6AF42BC1"/>
    <w:rsid w:val="6AF73145"/>
    <w:rsid w:val="6B073DB6"/>
    <w:rsid w:val="6B0E4BB1"/>
    <w:rsid w:val="6BB8600B"/>
    <w:rsid w:val="6C0C1208"/>
    <w:rsid w:val="6C793B02"/>
    <w:rsid w:val="6D2947A3"/>
    <w:rsid w:val="6DE446DA"/>
    <w:rsid w:val="6EC40305"/>
    <w:rsid w:val="6F2268CB"/>
    <w:rsid w:val="6F405FFB"/>
    <w:rsid w:val="6F61487B"/>
    <w:rsid w:val="6FE638BB"/>
    <w:rsid w:val="6FF0400E"/>
    <w:rsid w:val="70223899"/>
    <w:rsid w:val="70FA495C"/>
    <w:rsid w:val="712B2CEC"/>
    <w:rsid w:val="713B3C0B"/>
    <w:rsid w:val="718051B8"/>
    <w:rsid w:val="71A77D39"/>
    <w:rsid w:val="71FF0D58"/>
    <w:rsid w:val="72AB7712"/>
    <w:rsid w:val="72E4201F"/>
    <w:rsid w:val="730E0FC5"/>
    <w:rsid w:val="7449509F"/>
    <w:rsid w:val="74AB04FE"/>
    <w:rsid w:val="755043BD"/>
    <w:rsid w:val="75D10F6B"/>
    <w:rsid w:val="76723404"/>
    <w:rsid w:val="769D6AA6"/>
    <w:rsid w:val="76D56984"/>
    <w:rsid w:val="76F04625"/>
    <w:rsid w:val="779F295C"/>
    <w:rsid w:val="78890534"/>
    <w:rsid w:val="78C27BEC"/>
    <w:rsid w:val="79381F1A"/>
    <w:rsid w:val="7A941506"/>
    <w:rsid w:val="7CCB152C"/>
    <w:rsid w:val="7D14035D"/>
    <w:rsid w:val="7D8F6C04"/>
    <w:rsid w:val="7DF519CC"/>
    <w:rsid w:val="7E6D5D44"/>
    <w:rsid w:val="7EA247F0"/>
    <w:rsid w:val="7FC41046"/>
  </w:rsids>
  <m:mathPr>
    <m:mathFont m:val="Cambria Math"/>
    <m:brkBin m:val="before"/>
    <m:brkBinSub m:val="--"/>
    <m:smallFrac m:val="1"/>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Calibri" w:hAnsi="Calibri" w:eastAsia="Calibri" w:cs="SimSun"/>
      <w:sz w:val="22"/>
      <w:szCs w:val="22"/>
      <w:lang w:val="en-US" w:eastAsia="en-US" w:bidi="ar-SA"/>
    </w:rPr>
  </w:style>
  <w:style w:type="paragraph" w:styleId="2">
    <w:name w:val="heading 1"/>
    <w:basedOn w:val="1"/>
    <w:next w:val="1"/>
    <w:link w:val="28"/>
    <w:qFormat/>
    <w:uiPriority w:val="9"/>
    <w:pPr>
      <w:spacing w:before="120" w:after="120" w:line="240" w:lineRule="auto"/>
      <w:jc w:val="both"/>
      <w:outlineLvl w:val="0"/>
    </w:pPr>
    <w:rPr>
      <w:rFonts w:eastAsia="Times New Roman" w:cs="Times New Roman" w:asciiTheme="minorHAnsi" w:hAnsiTheme="minorHAnsi"/>
      <w:b/>
      <w:bCs/>
      <w:sz w:val="28"/>
      <w:szCs w:val="28"/>
      <w:lang w:val="es-ES"/>
    </w:rPr>
  </w:style>
  <w:style w:type="paragraph" w:styleId="3">
    <w:name w:val="heading 2"/>
    <w:basedOn w:val="2"/>
    <w:next w:val="1"/>
    <w:link w:val="42"/>
    <w:unhideWhenUsed/>
    <w:qFormat/>
    <w:uiPriority w:val="9"/>
    <w:pPr>
      <w:spacing w:before="240"/>
      <w:outlineLvl w:val="1"/>
    </w:pPr>
    <w:rPr>
      <w:sz w:val="24"/>
    </w:rPr>
  </w:style>
  <w:style w:type="paragraph" w:styleId="4">
    <w:name w:val="heading 3"/>
    <w:basedOn w:val="1"/>
    <w:next w:val="1"/>
    <w:link w:val="46"/>
    <w:unhideWhenUsed/>
    <w:qFormat/>
    <w:uiPriority w:val="9"/>
    <w:pPr>
      <w:outlineLvl w:val="2"/>
    </w:pPr>
  </w:style>
  <w:style w:type="paragraph" w:styleId="5">
    <w:name w:val="heading 4"/>
    <w:basedOn w:val="1"/>
    <w:next w:val="1"/>
    <w:link w:val="33"/>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65"/>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character" w:default="1" w:styleId="7">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character" w:styleId="9">
    <w:name w:val="annotation reference"/>
    <w:basedOn w:val="7"/>
    <w:semiHidden/>
    <w:unhideWhenUsed/>
    <w:qFormat/>
    <w:uiPriority w:val="99"/>
    <w:rPr>
      <w:sz w:val="16"/>
      <w:szCs w:val="16"/>
    </w:rPr>
  </w:style>
  <w:style w:type="character" w:styleId="10">
    <w:name w:val="Emphasis"/>
    <w:basedOn w:val="7"/>
    <w:qFormat/>
    <w:uiPriority w:val="20"/>
    <w:rPr>
      <w:i/>
      <w:iCs/>
    </w:rPr>
  </w:style>
  <w:style w:type="character" w:styleId="11">
    <w:name w:val="Hyperlink"/>
    <w:basedOn w:val="7"/>
    <w:qFormat/>
    <w:uiPriority w:val="99"/>
    <w:rPr>
      <w:color w:val="0563C1"/>
      <w:u w:val="single"/>
    </w:rPr>
  </w:style>
  <w:style w:type="character" w:styleId="12">
    <w:name w:val="page number"/>
    <w:basedOn w:val="7"/>
    <w:unhideWhenUsed/>
    <w:qFormat/>
    <w:uiPriority w:val="99"/>
  </w:style>
  <w:style w:type="character" w:styleId="13">
    <w:name w:val="Strong"/>
    <w:basedOn w:val="7"/>
    <w:qFormat/>
    <w:uiPriority w:val="22"/>
    <w:rPr>
      <w:b/>
      <w:bCs/>
    </w:rPr>
  </w:style>
  <w:style w:type="paragraph" w:styleId="14">
    <w:name w:val="caption"/>
    <w:basedOn w:val="1"/>
    <w:next w:val="1"/>
    <w:semiHidden/>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5">
    <w:name w:val="annotation subject"/>
    <w:basedOn w:val="16"/>
    <w:next w:val="16"/>
    <w:link w:val="26"/>
    <w:semiHidden/>
    <w:unhideWhenUsed/>
    <w:qFormat/>
    <w:uiPriority w:val="99"/>
    <w:rPr>
      <w:b/>
      <w:bCs/>
    </w:rPr>
  </w:style>
  <w:style w:type="paragraph" w:styleId="16">
    <w:name w:val="annotation text"/>
    <w:basedOn w:val="1"/>
    <w:link w:val="25"/>
    <w:semiHidden/>
    <w:unhideWhenUsed/>
    <w:qFormat/>
    <w:uiPriority w:val="99"/>
    <w:pPr>
      <w:spacing w:line="240" w:lineRule="auto"/>
    </w:pPr>
    <w:rPr>
      <w:sz w:val="20"/>
      <w:szCs w:val="20"/>
    </w:rPr>
  </w:style>
  <w:style w:type="paragraph" w:styleId="17">
    <w:name w:val="Balloon Text"/>
    <w:basedOn w:val="1"/>
    <w:link w:val="27"/>
    <w:semiHidden/>
    <w:unhideWhenUsed/>
    <w:qFormat/>
    <w:uiPriority w:val="99"/>
    <w:pPr>
      <w:spacing w:after="0" w:line="240" w:lineRule="auto"/>
    </w:pPr>
    <w:rPr>
      <w:rFonts w:ascii="Tahoma" w:hAnsi="Tahoma" w:cs="Tahoma"/>
      <w:sz w:val="16"/>
      <w:szCs w:val="16"/>
    </w:rPr>
  </w:style>
  <w:style w:type="paragraph" w:styleId="18">
    <w:name w:val="header"/>
    <w:basedOn w:val="1"/>
    <w:link w:val="30"/>
    <w:unhideWhenUsed/>
    <w:qFormat/>
    <w:uiPriority w:val="99"/>
    <w:pPr>
      <w:tabs>
        <w:tab w:val="center" w:pos="4419"/>
        <w:tab w:val="right" w:pos="8838"/>
      </w:tabs>
      <w:spacing w:after="0" w:line="240" w:lineRule="auto"/>
    </w:pPr>
  </w:style>
  <w:style w:type="paragraph" w:styleId="19">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val="es-VE" w:eastAsia="es-VE"/>
    </w:rPr>
  </w:style>
  <w:style w:type="paragraph" w:styleId="20">
    <w:name w:val="footer"/>
    <w:basedOn w:val="1"/>
    <w:link w:val="31"/>
    <w:unhideWhenUsed/>
    <w:qFormat/>
    <w:uiPriority w:val="99"/>
    <w:pPr>
      <w:tabs>
        <w:tab w:val="center" w:pos="4419"/>
        <w:tab w:val="right" w:pos="8838"/>
      </w:tabs>
      <w:spacing w:after="0" w:line="240" w:lineRule="auto"/>
    </w:pPr>
  </w:style>
  <w:style w:type="paragraph" w:styleId="21">
    <w:name w:val="Subtitle"/>
    <w:basedOn w:val="1"/>
    <w:next w:val="1"/>
    <w:link w:val="36"/>
    <w:qFormat/>
    <w:uiPriority w:val="11"/>
    <w:pPr>
      <w:spacing w:before="120" w:after="60" w:line="240" w:lineRule="auto"/>
    </w:pPr>
    <w:rPr>
      <w:rFonts w:cs="Times New Roman" w:asciiTheme="minorHAnsi" w:hAnsiTheme="minorHAnsi"/>
      <w:b/>
      <w:i/>
      <w:szCs w:val="24"/>
      <w:lang w:val="es-ES"/>
    </w:rPr>
  </w:style>
  <w:style w:type="paragraph" w:styleId="22">
    <w:name w:val="Body Text"/>
    <w:basedOn w:val="1"/>
    <w:link w:val="34"/>
    <w:qFormat/>
    <w:uiPriority w:val="1"/>
    <w:pPr>
      <w:widowControl w:val="0"/>
      <w:autoSpaceDE w:val="0"/>
      <w:autoSpaceDN w:val="0"/>
      <w:spacing w:after="0" w:line="240" w:lineRule="auto"/>
      <w:ind w:left="255"/>
      <w:jc w:val="both"/>
    </w:pPr>
    <w:rPr>
      <w:rFonts w:ascii="Times New Roman" w:hAnsi="Times New Roman" w:eastAsia="Times New Roman" w:cs="Times New Roman"/>
      <w:sz w:val="24"/>
      <w:szCs w:val="24"/>
      <w:lang w:val="es-ES"/>
    </w:rPr>
  </w:style>
  <w:style w:type="paragraph" w:styleId="23">
    <w:name w:val="Title"/>
    <w:basedOn w:val="2"/>
    <w:next w:val="1"/>
    <w:link w:val="35"/>
    <w:qFormat/>
    <w:uiPriority w:val="10"/>
    <w:rPr>
      <w:rFonts w:ascii="Times New Roman" w:hAnsi="Times New Roman"/>
      <w:b w:val="0"/>
      <w:bCs w:val="0"/>
    </w:rPr>
  </w:style>
  <w:style w:type="table" w:styleId="24">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5">
    <w:name w:val="Texto comentario Car"/>
    <w:basedOn w:val="7"/>
    <w:link w:val="16"/>
    <w:semiHidden/>
    <w:qFormat/>
    <w:uiPriority w:val="99"/>
    <w:rPr>
      <w:sz w:val="20"/>
      <w:szCs w:val="20"/>
    </w:rPr>
  </w:style>
  <w:style w:type="character" w:customStyle="1" w:styleId="26">
    <w:name w:val="Asunto del comentario Car"/>
    <w:basedOn w:val="25"/>
    <w:link w:val="15"/>
    <w:semiHidden/>
    <w:qFormat/>
    <w:uiPriority w:val="99"/>
    <w:rPr>
      <w:b/>
      <w:bCs/>
      <w:sz w:val="20"/>
      <w:szCs w:val="20"/>
    </w:rPr>
  </w:style>
  <w:style w:type="character" w:customStyle="1" w:styleId="27">
    <w:name w:val="Texto de globo Car"/>
    <w:basedOn w:val="7"/>
    <w:link w:val="17"/>
    <w:semiHidden/>
    <w:qFormat/>
    <w:uiPriority w:val="99"/>
    <w:rPr>
      <w:rFonts w:ascii="Tahoma" w:hAnsi="Tahoma" w:cs="Tahoma"/>
      <w:sz w:val="16"/>
      <w:szCs w:val="16"/>
    </w:rPr>
  </w:style>
  <w:style w:type="character" w:customStyle="1" w:styleId="28">
    <w:name w:val="Título 1 Car"/>
    <w:basedOn w:val="7"/>
    <w:link w:val="2"/>
    <w:qFormat/>
    <w:uiPriority w:val="9"/>
    <w:rPr>
      <w:rFonts w:eastAsia="Times New Roman" w:cs="Times New Roman" w:asciiTheme="minorHAnsi" w:hAnsiTheme="minorHAnsi"/>
      <w:b/>
      <w:bCs/>
      <w:sz w:val="28"/>
      <w:szCs w:val="28"/>
      <w:lang w:val="es-ES"/>
    </w:rPr>
  </w:style>
  <w:style w:type="character" w:customStyle="1" w:styleId="29">
    <w:name w:val="Mención sin resolver1"/>
    <w:basedOn w:val="7"/>
    <w:semiHidden/>
    <w:unhideWhenUsed/>
    <w:qFormat/>
    <w:uiPriority w:val="99"/>
    <w:rPr>
      <w:color w:val="605E5C"/>
      <w:shd w:val="clear" w:color="auto" w:fill="E1DFDD"/>
    </w:rPr>
  </w:style>
  <w:style w:type="character" w:customStyle="1" w:styleId="30">
    <w:name w:val="Encabezado Car"/>
    <w:basedOn w:val="7"/>
    <w:link w:val="18"/>
    <w:qFormat/>
    <w:uiPriority w:val="99"/>
  </w:style>
  <w:style w:type="character" w:customStyle="1" w:styleId="31">
    <w:name w:val="Pie de página Car"/>
    <w:basedOn w:val="7"/>
    <w:link w:val="20"/>
    <w:qFormat/>
    <w:uiPriority w:val="99"/>
  </w:style>
  <w:style w:type="paragraph" w:styleId="32">
    <w:name w:val="List Paragraph"/>
    <w:basedOn w:val="1"/>
    <w:qFormat/>
    <w:uiPriority w:val="34"/>
    <w:pPr>
      <w:ind w:left="720"/>
      <w:contextualSpacing/>
    </w:pPr>
  </w:style>
  <w:style w:type="character" w:customStyle="1" w:styleId="33">
    <w:name w:val="Título 4 Car"/>
    <w:basedOn w:val="7"/>
    <w:link w:val="5"/>
    <w:qFormat/>
    <w:uiPriority w:val="9"/>
    <w:rPr>
      <w:rFonts w:asciiTheme="majorHAnsi" w:hAnsiTheme="majorHAnsi" w:eastAsiaTheme="majorEastAsia" w:cstheme="majorBidi"/>
      <w:i/>
      <w:iCs/>
      <w:color w:val="376092" w:themeColor="accent1" w:themeShade="BF"/>
    </w:rPr>
  </w:style>
  <w:style w:type="character" w:customStyle="1" w:styleId="34">
    <w:name w:val="Texto independiente Car"/>
    <w:basedOn w:val="7"/>
    <w:link w:val="22"/>
    <w:qFormat/>
    <w:uiPriority w:val="1"/>
    <w:rPr>
      <w:rFonts w:ascii="Times New Roman" w:hAnsi="Times New Roman" w:eastAsia="Times New Roman" w:cs="Times New Roman"/>
      <w:sz w:val="24"/>
      <w:szCs w:val="24"/>
      <w:lang w:val="es-ES"/>
    </w:rPr>
  </w:style>
  <w:style w:type="character" w:customStyle="1" w:styleId="35">
    <w:name w:val="Título Car"/>
    <w:basedOn w:val="7"/>
    <w:link w:val="23"/>
    <w:qFormat/>
    <w:uiPriority w:val="10"/>
    <w:rPr>
      <w:rFonts w:ascii="Times New Roman" w:hAnsi="Times New Roman" w:eastAsia="Times New Roman" w:cs="Times New Roman"/>
      <w:b/>
      <w:bCs/>
      <w:sz w:val="32"/>
      <w:szCs w:val="32"/>
      <w:lang w:val="es-ES"/>
    </w:rPr>
  </w:style>
  <w:style w:type="character" w:customStyle="1" w:styleId="36">
    <w:name w:val="Subtítulo Car"/>
    <w:basedOn w:val="7"/>
    <w:link w:val="21"/>
    <w:qFormat/>
    <w:uiPriority w:val="11"/>
    <w:rPr>
      <w:rFonts w:cs="Times New Roman" w:asciiTheme="minorHAnsi" w:hAnsiTheme="minorHAnsi"/>
      <w:b/>
      <w:i/>
      <w:szCs w:val="24"/>
      <w:lang w:val="es-ES"/>
    </w:rPr>
  </w:style>
  <w:style w:type="paragraph" w:customStyle="1" w:styleId="37">
    <w:name w:val="Autores"/>
    <w:basedOn w:val="1"/>
    <w:link w:val="38"/>
    <w:qFormat/>
    <w:uiPriority w:val="0"/>
    <w:pPr>
      <w:spacing w:after="0" w:line="240" w:lineRule="auto"/>
      <w:ind w:left="-113"/>
    </w:pPr>
    <w:rPr>
      <w:rFonts w:ascii="Times New Roman" w:hAnsi="Times New Roman" w:cs="Times New Roman"/>
      <w:b/>
      <w:sz w:val="24"/>
      <w:szCs w:val="24"/>
    </w:rPr>
  </w:style>
  <w:style w:type="character" w:customStyle="1" w:styleId="38">
    <w:name w:val="Autores Car"/>
    <w:basedOn w:val="7"/>
    <w:link w:val="37"/>
    <w:qFormat/>
    <w:uiPriority w:val="0"/>
    <w:rPr>
      <w:rFonts w:ascii="Times New Roman" w:hAnsi="Times New Roman" w:cs="Times New Roman"/>
      <w:b/>
      <w:sz w:val="24"/>
      <w:szCs w:val="24"/>
    </w:rPr>
  </w:style>
  <w:style w:type="paragraph" w:customStyle="1" w:styleId="39">
    <w:name w:val="Resumen_TX"/>
    <w:basedOn w:val="1"/>
    <w:link w:val="41"/>
    <w:qFormat/>
    <w:uiPriority w:val="0"/>
    <w:pPr>
      <w:spacing w:before="120" w:after="120" w:line="240" w:lineRule="auto"/>
      <w:jc w:val="both"/>
    </w:pPr>
    <w:rPr>
      <w:rFonts w:cs="Times New Roman" w:asciiTheme="minorHAnsi" w:hAnsiTheme="minorHAnsi"/>
      <w:sz w:val="18"/>
      <w:szCs w:val="20"/>
      <w:lang w:val="es-ES"/>
    </w:rPr>
  </w:style>
  <w:style w:type="paragraph" w:customStyle="1" w:styleId="40">
    <w:name w:val="Filiacion"/>
    <w:basedOn w:val="1"/>
    <w:link w:val="43"/>
    <w:qFormat/>
    <w:uiPriority w:val="0"/>
    <w:pPr>
      <w:widowControl w:val="0"/>
      <w:numPr>
        <w:ilvl w:val="0"/>
        <w:numId w:val="1"/>
      </w:numPr>
      <w:pBdr>
        <w:bottom w:val="single" w:color="auto" w:sz="12" w:space="1"/>
      </w:pBdr>
      <w:tabs>
        <w:tab w:val="left" w:pos="471"/>
      </w:tabs>
      <w:autoSpaceDE w:val="0"/>
      <w:autoSpaceDN w:val="0"/>
      <w:spacing w:before="60" w:after="60" w:line="240" w:lineRule="auto"/>
      <w:ind w:left="215"/>
    </w:pPr>
    <w:rPr>
      <w:rFonts w:eastAsia="Times New Roman" w:cs="Times New Roman" w:asciiTheme="minorHAnsi" w:hAnsiTheme="minorHAnsi"/>
      <w:sz w:val="16"/>
      <w:lang w:val="es-ES"/>
    </w:rPr>
  </w:style>
  <w:style w:type="character" w:customStyle="1" w:styleId="41">
    <w:name w:val="Resumen_TX Car"/>
    <w:basedOn w:val="7"/>
    <w:link w:val="39"/>
    <w:qFormat/>
    <w:uiPriority w:val="0"/>
    <w:rPr>
      <w:rFonts w:cs="Times New Roman" w:asciiTheme="minorHAnsi" w:hAnsiTheme="minorHAnsi"/>
      <w:sz w:val="18"/>
      <w:szCs w:val="20"/>
      <w:lang w:val="es-ES"/>
    </w:rPr>
  </w:style>
  <w:style w:type="character" w:customStyle="1" w:styleId="42">
    <w:name w:val="Título 2 Car"/>
    <w:basedOn w:val="7"/>
    <w:link w:val="3"/>
    <w:qFormat/>
    <w:uiPriority w:val="9"/>
    <w:rPr>
      <w:rFonts w:eastAsia="Times New Roman" w:cs="Times New Roman" w:asciiTheme="minorHAnsi" w:hAnsiTheme="minorHAnsi"/>
      <w:b/>
      <w:bCs/>
      <w:sz w:val="24"/>
      <w:szCs w:val="28"/>
      <w:lang w:val="es-ES"/>
    </w:rPr>
  </w:style>
  <w:style w:type="character" w:customStyle="1" w:styleId="43">
    <w:name w:val="Filiacion Car"/>
    <w:basedOn w:val="7"/>
    <w:link w:val="40"/>
    <w:qFormat/>
    <w:uiPriority w:val="0"/>
    <w:rPr>
      <w:rFonts w:eastAsia="Times New Roman" w:cs="Times New Roman" w:asciiTheme="minorHAnsi" w:hAnsiTheme="minorHAnsi"/>
      <w:sz w:val="16"/>
      <w:lang w:val="es-ES"/>
    </w:rPr>
  </w:style>
  <w:style w:type="paragraph" w:customStyle="1" w:styleId="44">
    <w:name w:val="Referencias"/>
    <w:basedOn w:val="1"/>
    <w:link w:val="45"/>
    <w:qFormat/>
    <w:uiPriority w:val="0"/>
    <w:pPr>
      <w:spacing w:before="60" w:after="60" w:line="240" w:lineRule="auto"/>
      <w:ind w:left="720" w:hanging="720"/>
      <w:jc w:val="both"/>
    </w:pPr>
    <w:rPr>
      <w:rFonts w:cs="Times New Roman" w:asciiTheme="minorHAnsi" w:hAnsiTheme="minorHAnsi"/>
      <w:szCs w:val="24"/>
      <w:lang w:val="es-ES"/>
    </w:rPr>
  </w:style>
  <w:style w:type="character" w:customStyle="1" w:styleId="45">
    <w:name w:val="Referencias Car"/>
    <w:basedOn w:val="7"/>
    <w:link w:val="44"/>
    <w:qFormat/>
    <w:uiPriority w:val="0"/>
    <w:rPr>
      <w:rFonts w:cs="Times New Roman" w:asciiTheme="minorHAnsi" w:hAnsiTheme="minorHAnsi"/>
      <w:szCs w:val="24"/>
      <w:lang w:val="es-ES"/>
    </w:rPr>
  </w:style>
  <w:style w:type="character" w:customStyle="1" w:styleId="46">
    <w:name w:val="Título 3 Car"/>
    <w:basedOn w:val="7"/>
    <w:link w:val="4"/>
    <w:qFormat/>
    <w:uiPriority w:val="9"/>
    <w:rPr>
      <w:rFonts w:cs="Times New Roman" w:asciiTheme="minorHAnsi" w:hAnsiTheme="minorHAnsi"/>
      <w:b/>
      <w:i/>
      <w:szCs w:val="24"/>
      <w:lang w:val="es-ES"/>
    </w:rPr>
  </w:style>
  <w:style w:type="table" w:customStyle="1" w:styleId="47">
    <w:name w:val="Tabla de lista 1 clara - Énfasis 31"/>
    <w:basedOn w:val="8"/>
    <w:qFormat/>
    <w:uiPriority w:val="46"/>
    <w:tblStylePr w:type="firstRow">
      <w:rPr>
        <w:b/>
        <w:bCs/>
      </w:rPr>
      <w:tcPr>
        <w:tcBorders>
          <w:bottom w:val="single" w:color="C2D69B" w:themeColor="accent3" w:themeTint="99" w:sz="4" w:space="0"/>
        </w:tcBorders>
      </w:tcPr>
    </w:tblStylePr>
    <w:tblStylePr w:type="lastRow">
      <w:rPr>
        <w:b/>
        <w:bCs/>
      </w:rPr>
      <w:tcPr>
        <w:tcBorders>
          <w:top w:val="single" w:color="C2D69B" w:themeColor="accent3" w:themeTint="99" w:sz="4" w:space="0"/>
        </w:tcBorders>
      </w:tcPr>
    </w:tblStylePr>
    <w:tblStylePr w:type="firstCol">
      <w:rPr>
        <w:b/>
        <w:bCs/>
      </w:rPr>
    </w:tblStylePr>
    <w:tblStylePr w:type="lastCol">
      <w:rPr>
        <w:b/>
        <w:bCs/>
      </w:rPr>
    </w:tblStylePr>
    <w:tblStylePr w:type="band1Vert">
      <w:tcPr>
        <w:shd w:val="clear" w:color="auto" w:fill="EAF1DD" w:themeFill="accent3" w:themeFillTint="33"/>
      </w:tcPr>
    </w:tblStylePr>
    <w:tblStylePr w:type="band1Horz">
      <w:tcPr>
        <w:shd w:val="clear" w:color="auto" w:fill="EAF1DD" w:themeFill="accent3" w:themeFillTint="33"/>
      </w:tcPr>
    </w:tblStylePr>
  </w:style>
  <w:style w:type="table" w:customStyle="1" w:styleId="48">
    <w:name w:val="Tabla de lista 2 - Énfasis 31"/>
    <w:basedOn w:val="8"/>
    <w:qFormat/>
    <w:uiPriority w:val="47"/>
    <w:tblPr>
      <w:tblBorders>
        <w:top w:val="single" w:color="C2D69B" w:themeColor="accent3" w:themeTint="99" w:sz="4" w:space="0"/>
        <w:bottom w:val="single" w:color="C2D69B" w:themeColor="accent3" w:themeTint="99" w:sz="4" w:space="0"/>
        <w:insideH w:val="single" w:color="C2D69B"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AF1DD" w:themeFill="accent3" w:themeFillTint="33"/>
      </w:tcPr>
    </w:tblStylePr>
    <w:tblStylePr w:type="band1Horz">
      <w:tcPr>
        <w:shd w:val="clear" w:color="auto" w:fill="EAF1DD" w:themeFill="accent3" w:themeFillTint="33"/>
      </w:tcPr>
    </w:tblStylePr>
  </w:style>
  <w:style w:type="table" w:customStyle="1" w:styleId="49">
    <w:name w:val="Tabla de lista 2 - Énfasis 51"/>
    <w:basedOn w:val="8"/>
    <w:qFormat/>
    <w:uiPriority w:val="47"/>
    <w:tblPr>
      <w:tblBorders>
        <w:top w:val="single" w:color="92CDDC" w:themeColor="accent5" w:themeTint="99" w:sz="4" w:space="0"/>
        <w:bottom w:val="single" w:color="92CDDC" w:themeColor="accent5" w:themeTint="99" w:sz="4" w:space="0"/>
        <w:insideH w:val="single" w:color="92CDDC"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AEEF3" w:themeFill="accent5" w:themeFillTint="33"/>
      </w:tcPr>
    </w:tblStylePr>
    <w:tblStylePr w:type="band1Horz">
      <w:tcPr>
        <w:shd w:val="clear" w:color="auto" w:fill="DAEEF3" w:themeFill="accent5" w:themeFillTint="33"/>
      </w:tcPr>
    </w:tblStylePr>
  </w:style>
  <w:style w:type="paragraph" w:customStyle="1" w:styleId="50">
    <w:name w:val="Normal Sangría"/>
    <w:basedOn w:val="1"/>
    <w:link w:val="51"/>
    <w:qFormat/>
    <w:uiPriority w:val="0"/>
    <w:pPr>
      <w:spacing w:line="480" w:lineRule="auto"/>
      <w:ind w:firstLine="720"/>
      <w:jc w:val="both"/>
    </w:pPr>
    <w:rPr>
      <w:rFonts w:ascii="Times New Roman" w:hAnsi="Times New Roman" w:cs="Times New Roman" w:eastAsiaTheme="minorHAnsi"/>
      <w:kern w:val="2"/>
      <w:sz w:val="24"/>
      <w:szCs w:val="24"/>
      <w:lang w:val="es-PE"/>
      <w14:ligatures w14:val="standardContextual"/>
    </w:rPr>
  </w:style>
  <w:style w:type="character" w:customStyle="1" w:styleId="51">
    <w:name w:val="Normal Sangría Car"/>
    <w:basedOn w:val="7"/>
    <w:link w:val="50"/>
    <w:qFormat/>
    <w:uiPriority w:val="0"/>
    <w:rPr>
      <w:rFonts w:ascii="Times New Roman" w:hAnsi="Times New Roman" w:cs="Times New Roman" w:eastAsiaTheme="minorHAnsi"/>
      <w:kern w:val="2"/>
      <w:sz w:val="24"/>
      <w:szCs w:val="24"/>
      <w:lang w:val="es-PE"/>
      <w14:ligatures w14:val="standardContextual"/>
    </w:rPr>
  </w:style>
  <w:style w:type="paragraph" w:customStyle="1" w:styleId="52">
    <w:name w:val="Tablas"/>
    <w:basedOn w:val="14"/>
    <w:link w:val="53"/>
    <w:qFormat/>
    <w:uiPriority w:val="0"/>
    <w:pPr>
      <w:keepNext/>
      <w:jc w:val="center"/>
    </w:pPr>
    <w:rPr>
      <w:rFonts w:ascii="Times New Roman" w:hAnsi="Times New Roman" w:cs="Times New Roman" w:eastAsiaTheme="minorHAnsi"/>
      <w:kern w:val="2"/>
      <w:sz w:val="24"/>
      <w:lang w:val="es-PE"/>
      <w14:ligatures w14:val="standardContextual"/>
    </w:rPr>
  </w:style>
  <w:style w:type="character" w:customStyle="1" w:styleId="53">
    <w:name w:val="Tablas Car"/>
    <w:basedOn w:val="7"/>
    <w:link w:val="52"/>
    <w:qFormat/>
    <w:uiPriority w:val="0"/>
    <w:rPr>
      <w:rFonts w:ascii="Times New Roman" w:hAnsi="Times New Roman" w:cs="Times New Roman" w:eastAsiaTheme="minorHAnsi"/>
      <w:i/>
      <w:iCs/>
      <w:color w:val="1F497D" w:themeColor="text2"/>
      <w:kern w:val="2"/>
      <w:sz w:val="24"/>
      <w:szCs w:val="18"/>
      <w:lang w:val="es-PE"/>
      <w14:textFill>
        <w14:solidFill>
          <w14:schemeClr w14:val="tx2"/>
        </w14:solidFill>
      </w14:textFill>
      <w14:ligatures w14:val="standardContextual"/>
    </w:rPr>
  </w:style>
  <w:style w:type="paragraph" w:customStyle="1" w:styleId="54">
    <w:name w:val="Bibliografía1"/>
    <w:basedOn w:val="1"/>
    <w:next w:val="1"/>
    <w:unhideWhenUsed/>
    <w:qFormat/>
    <w:uiPriority w:val="37"/>
    <w:pPr>
      <w:spacing w:after="0" w:line="480" w:lineRule="auto"/>
      <w:ind w:left="720" w:hanging="720"/>
    </w:pPr>
  </w:style>
  <w:style w:type="paragraph" w:customStyle="1" w:styleId="55">
    <w:name w:val="Fuentes"/>
    <w:basedOn w:val="50"/>
    <w:link w:val="56"/>
    <w:qFormat/>
    <w:uiPriority w:val="0"/>
    <w:pPr>
      <w:spacing w:line="240" w:lineRule="atLeast"/>
      <w:ind w:firstLine="0"/>
      <w:jc w:val="center"/>
    </w:pPr>
    <w:rPr>
      <w:i/>
      <w:iCs/>
      <w:color w:val="1F497D" w:themeColor="text2"/>
      <w:szCs w:val="18"/>
      <w14:textFill>
        <w14:solidFill>
          <w14:schemeClr w14:val="tx2"/>
        </w14:solidFill>
      </w14:textFill>
    </w:rPr>
  </w:style>
  <w:style w:type="character" w:customStyle="1" w:styleId="56">
    <w:name w:val="Fuentes Car"/>
    <w:basedOn w:val="7"/>
    <w:link w:val="55"/>
    <w:qFormat/>
    <w:uiPriority w:val="0"/>
    <w:rPr>
      <w:rFonts w:ascii="Times New Roman" w:hAnsi="Times New Roman" w:cs="Times New Roman" w:eastAsiaTheme="minorHAnsi"/>
      <w:i/>
      <w:iCs/>
      <w:color w:val="1F497D" w:themeColor="text2"/>
      <w:kern w:val="2"/>
      <w:sz w:val="24"/>
      <w:szCs w:val="18"/>
      <w:lang w:val="es-PE"/>
      <w14:textFill>
        <w14:solidFill>
          <w14:schemeClr w14:val="tx2"/>
        </w14:solidFill>
      </w14:textFill>
      <w14:ligatures w14:val="standardContextual"/>
    </w:rPr>
  </w:style>
  <w:style w:type="paragraph" w:customStyle="1" w:styleId="57">
    <w:name w:val="Figuras"/>
    <w:basedOn w:val="14"/>
    <w:link w:val="58"/>
    <w:qFormat/>
    <w:uiPriority w:val="0"/>
    <w:pPr>
      <w:keepNext/>
      <w:jc w:val="center"/>
    </w:pPr>
    <w:rPr>
      <w:rFonts w:ascii="Times New Roman" w:hAnsi="Times New Roman" w:cs="Times New Roman" w:eastAsiaTheme="minorHAnsi"/>
      <w:kern w:val="2"/>
      <w:sz w:val="24"/>
      <w:lang w:val="es-PE"/>
      <w14:ligatures w14:val="standardContextual"/>
    </w:rPr>
  </w:style>
  <w:style w:type="character" w:customStyle="1" w:styleId="58">
    <w:name w:val="Figuras Car"/>
    <w:basedOn w:val="7"/>
    <w:link w:val="57"/>
    <w:qFormat/>
    <w:uiPriority w:val="0"/>
    <w:rPr>
      <w:rFonts w:ascii="Times New Roman" w:hAnsi="Times New Roman" w:cs="Times New Roman" w:eastAsiaTheme="minorHAnsi"/>
      <w:i/>
      <w:iCs/>
      <w:color w:val="1F497D" w:themeColor="text2"/>
      <w:kern w:val="2"/>
      <w:sz w:val="24"/>
      <w:szCs w:val="18"/>
      <w:lang w:val="es-PE"/>
      <w14:textFill>
        <w14:solidFill>
          <w14:schemeClr w14:val="tx2"/>
        </w14:solidFill>
      </w14:textFill>
      <w14:ligatures w14:val="standardContextual"/>
    </w:rPr>
  </w:style>
  <w:style w:type="character" w:customStyle="1" w:styleId="59">
    <w:name w:val="Mención sin resolver2"/>
    <w:basedOn w:val="7"/>
    <w:semiHidden/>
    <w:unhideWhenUsed/>
    <w:qFormat/>
    <w:uiPriority w:val="99"/>
    <w:rPr>
      <w:color w:val="605E5C"/>
      <w:shd w:val="clear" w:color="auto" w:fill="E1DFDD"/>
    </w:rPr>
  </w:style>
  <w:style w:type="paragraph" w:customStyle="1" w:styleId="60">
    <w:name w:val="Paragraph Text Style"/>
    <w:qFormat/>
    <w:uiPriority w:val="0"/>
    <w:pPr>
      <w:spacing w:before="144" w:after="72" w:line="276" w:lineRule="auto"/>
    </w:pPr>
    <w:rPr>
      <w:rFonts w:ascii="Segoe UI" w:hAnsi="Segoe UI" w:eastAsia="Segoe UI" w:cs="Segoe UI"/>
      <w:color w:val="000000"/>
      <w:sz w:val="26"/>
      <w:szCs w:val="26"/>
      <w:lang w:val="es-VE" w:eastAsia="es-VE" w:bidi="ar-SA"/>
    </w:rPr>
  </w:style>
  <w:style w:type="paragraph" w:customStyle="1" w:styleId="61">
    <w:name w:val="TABLAS"/>
    <w:basedOn w:val="1"/>
    <w:qFormat/>
    <w:uiPriority w:val="0"/>
    <w:pPr>
      <w:shd w:val="clear" w:color="auto" w:fill="FFFFFF"/>
      <w:jc w:val="both"/>
    </w:pPr>
    <w:rPr>
      <w:rFonts w:cs="Times New Roman"/>
      <w:spacing w:val="-3"/>
      <w:szCs w:val="24"/>
      <w:shd w:val="clear" w:color="auto" w:fill="FFFFFF"/>
    </w:rPr>
  </w:style>
  <w:style w:type="paragraph" w:customStyle="1" w:styleId="62">
    <w:name w:val="figura"/>
    <w:basedOn w:val="52"/>
    <w:qFormat/>
    <w:uiPriority w:val="0"/>
    <w:rPr>
      <w:b/>
      <w:i w:val="0"/>
      <w:sz w:val="20"/>
    </w:rPr>
  </w:style>
  <w:style w:type="paragraph" w:customStyle="1" w:styleId="63">
    <w:name w:val="Bibliografía2"/>
    <w:basedOn w:val="1"/>
    <w:next w:val="1"/>
    <w:semiHidden/>
    <w:unhideWhenUsed/>
    <w:qFormat/>
    <w:uiPriority w:val="37"/>
    <w:pPr>
      <w:spacing w:line="360" w:lineRule="auto"/>
      <w:ind w:firstLine="567"/>
      <w:jc w:val="both"/>
    </w:pPr>
    <w:rPr>
      <w:rFonts w:ascii="Times New Roman" w:hAnsi="Times New Roman" w:cs="Times New Roman" w:eastAsiaTheme="minorHAnsi"/>
      <w:sz w:val="24"/>
      <w:szCs w:val="24"/>
      <w:lang w:val="es-PE"/>
    </w:rPr>
  </w:style>
  <w:style w:type="paragraph" w:customStyle="1" w:styleId="64">
    <w:name w:val="Table Paragraph"/>
    <w:basedOn w:val="1"/>
    <w:qFormat/>
    <w:uiPriority w:val="1"/>
    <w:rPr>
      <w:rFonts w:ascii="Cambria" w:hAnsi="Cambria" w:eastAsia="Cambria" w:cs="Cambria"/>
      <w:lang w:val="es-ES"/>
    </w:rPr>
  </w:style>
  <w:style w:type="character" w:customStyle="1" w:styleId="65">
    <w:name w:val="Título 5 Car"/>
    <w:basedOn w:val="7"/>
    <w:link w:val="6"/>
    <w:uiPriority w:val="9"/>
    <w:rPr>
      <w:rFonts w:asciiTheme="majorHAnsi" w:hAnsiTheme="majorHAnsi" w:eastAsiaTheme="majorEastAsia" w:cstheme="majorBidi"/>
      <w:color w:val="376092" w:themeColor="accent1" w:themeShade="BF"/>
      <w:sz w:val="22"/>
      <w:szCs w:val="22"/>
      <w:lang w:val="en-US" w:eastAsia="en-US"/>
    </w:rPr>
  </w:style>
  <w:style w:type="character" w:customStyle="1" w:styleId="66">
    <w:name w:val="selected"/>
    <w:basedOn w:val="7"/>
    <w:uiPriority w:val="0"/>
  </w:style>
  <w:style w:type="character" w:customStyle="1" w:styleId="67">
    <w:name w:val="citation-0"/>
    <w:basedOn w:val="7"/>
    <w:qFormat/>
    <w:uiPriority w:val="0"/>
  </w:style>
  <w:style w:type="character" w:customStyle="1" w:styleId="68">
    <w:name w:val="button-container"/>
    <w:basedOn w:val="7"/>
    <w:qFormat/>
    <w:uiPriority w:val="0"/>
  </w:style>
  <w:style w:type="table" w:customStyle="1" w:styleId="69">
    <w:name w:val="Grid Table 4"/>
    <w:basedOn w:val="8"/>
    <w:qFormat/>
    <w:uiPriority w:val="49"/>
    <w:rPr>
      <w:rFonts w:asciiTheme="minorHAnsi" w:hAnsiTheme="minorHAnsi" w:eastAsiaTheme="minorEastAsia" w:cstheme="minorBidi"/>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character" w:customStyle="1" w:styleId="70">
    <w:name w:val="citation-1"/>
    <w:basedOn w:val="7"/>
    <w:qFormat/>
    <w:uiPriority w:val="0"/>
  </w:style>
  <w:style w:type="character" w:customStyle="1" w:styleId="71">
    <w:name w:val="citation-2"/>
    <w:basedOn w:val="7"/>
    <w:uiPriority w:val="0"/>
  </w:style>
  <w:style w:type="character" w:customStyle="1" w:styleId="72">
    <w:name w:val="citation-3"/>
    <w:basedOn w:val="7"/>
    <w:qFormat/>
    <w:uiPriority w:val="0"/>
  </w:style>
  <w:style w:type="character" w:customStyle="1" w:styleId="73">
    <w:name w:val="Unresolved Mention"/>
    <w:basedOn w:val="7"/>
    <w:semiHidden/>
    <w:unhideWhenUsed/>
    <w:qFormat/>
    <w:uiPriority w:val="99"/>
    <w:rPr>
      <w:color w:val="605E5C"/>
      <w:shd w:val="clear" w:color="auto" w:fill="E1DFDD"/>
    </w:rPr>
  </w:style>
  <w:style w:type="character" w:customStyle="1" w:styleId="74">
    <w:name w:val="citation-19"/>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hyperlink" Target="https://orcid.org/0009-0007-4101-0642" TargetMode="External"/><Relationship Id="rId15" Type="http://schemas.openxmlformats.org/officeDocument/2006/relationships/hyperlink" Target="https://orcid.org/0009-0002-4758-8967" TargetMode="External"/><Relationship Id="rId14" Type="http://schemas.openxmlformats.org/officeDocument/2006/relationships/hyperlink" Target="https://orcid.org/0009-0008-5190-1358" TargetMode="External"/><Relationship Id="rId13" Type="http://schemas.openxmlformats.org/officeDocument/2006/relationships/image" Target="media/image6.png"/><Relationship Id="rId12" Type="http://schemas.openxmlformats.org/officeDocument/2006/relationships/hyperlink" Target="mailto:braulio.melchor@unh.edu.pe" TargetMode="External"/><Relationship Id="rId11" Type="http://schemas.openxmlformats.org/officeDocument/2006/relationships/image" Target="media/image5.png"/><Relationship Id="rId10" Type="http://schemas.openxmlformats.org/officeDocument/2006/relationships/hyperlink" Target="https://orcid.org/0000-0002-4098-3860" TargetMode="Externa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s://revista.investigaciondetecnologias.com/index.php/e-RMS/article/view/359"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246846-B386-4A8A-8860-70E63B580F52}">
  <ds:schemaRefs/>
</ds:datastoreItem>
</file>

<file path=docProps/app.xml><?xml version="1.0" encoding="utf-8"?>
<Properties xmlns="http://schemas.openxmlformats.org/officeDocument/2006/extended-properties" xmlns:vt="http://schemas.openxmlformats.org/officeDocument/2006/docPropsVTypes">
  <Template>Normal</Template>
  <Pages>8</Pages>
  <Words>2940</Words>
  <Characters>17919</Characters>
  <Lines>313</Lines>
  <Paragraphs>88</Paragraphs>
  <TotalTime>8</TotalTime>
  <ScaleCrop>false</ScaleCrop>
  <LinksUpToDate>false</LinksUpToDate>
  <CharactersWithSpaces>20716</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2026-04-04T14:02:00Z</dcterms:created>
  <dc:creator>Lipselotte Infante</dc:creator>
  <cp:lastModifiedBy>Usuario</cp:lastModifiedBy>
  <cp:lastPrinted>2025-11-16T21:18:00Z</cp:lastPrinted>
  <dcterms:modified xsi:type="dcterms:W3CDTF">2026-05-25T08:30:37Z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B9F0DF39E35F4CBFA391254B3D4972FB_13</vt:lpwstr>
  </property>
  <property fmtid="{D5CDD505-2E9C-101B-9397-08002B2CF9AE}" pid="3" name="ZOTERO_PREF_1">
    <vt:lpwstr>&lt;data data-version="3" zotero-version="6.0.36"&gt;&lt;session id="IEjlPa7i"/&gt;&lt;style id="http://www.zotero.org/styles/apa" locale="es-ES" hasBibliography="1" bibliographyStyleHasBeenSet="1"/&gt;&lt;prefs&gt;&lt;pref name="fieldType" value="Field"/&gt;&lt;/prefs&gt;&lt;/data&gt;</vt:lpwstr>
  </property>
  <property fmtid="{D5CDD505-2E9C-101B-9397-08002B2CF9AE}" pid="4" name="KSOProductBuildVer">
    <vt:lpwstr>3082-12.1.0.26372</vt:lpwstr>
  </property>
  <property fmtid="{D5CDD505-2E9C-101B-9397-08002B2CF9AE}" pid="5" name="KSOTemplateDocerSaveRecord">
    <vt:lpwstr>eyJoZGlkIjoiN2Y1OTA2YTg4Yjk0ZDI1MGU5ZWIzN2UyNThmNDkwNzMifQ==</vt:lpwstr>
  </property>
</Properties>
</file>