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7"/>
        <w:gridCol w:w="4801"/>
      </w:tblGrid>
      <w:tr w14:paraId="1129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97" w:type="dxa"/>
          </w:tcPr>
          <w:p w14:paraId="078ACA4A">
            <w:pPr>
              <w:spacing w:before="60" w:after="60" w:line="240" w:lineRule="auto"/>
              <w:ind w:left="-57"/>
              <w:rPr>
                <w:rFonts w:eastAsia="Times New Roman" w:asciiTheme="minorHAnsi" w:hAnsiTheme="minorHAnsi" w:cstheme="minorHAnsi"/>
                <w:bCs/>
                <w:iCs/>
                <w:color w:val="558ED5" w:themeColor="text2" w:themeTint="99"/>
                <w:sz w:val="16"/>
                <w:szCs w:val="16"/>
                <w:lang w:val="es-VE"/>
                <w14:textFill>
                  <w14:solidFill>
                    <w14:schemeClr w14:val="tx2">
                      <w14:lumMod w14:val="60000"/>
                      <w14:lumOff w14:val="40000"/>
                    </w14:schemeClr>
                  </w14:solidFill>
                </w14:textFill>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HYPERLINK "https://doi.org/10.61286/e-rms.v4i.359" </w:instrText>
            </w:r>
            <w:r>
              <w:rPr>
                <w:rFonts w:asciiTheme="minorHAnsi" w:hAnsiTheme="minorHAnsi" w:cstheme="minorHAnsi"/>
                <w:sz w:val="16"/>
                <w:szCs w:val="16"/>
              </w:rPr>
              <w:fldChar w:fldCharType="separate"/>
            </w:r>
            <w:r>
              <w:rPr>
                <w:rStyle w:val="11"/>
                <w:rFonts w:asciiTheme="minorHAnsi" w:hAnsiTheme="minorHAnsi" w:cstheme="minorHAnsi"/>
                <w:color w:val="008ACB"/>
                <w:sz w:val="16"/>
                <w:szCs w:val="16"/>
                <w:shd w:val="clear" w:color="auto" w:fill="FFFFFF"/>
              </w:rPr>
              <w:t>https://doi.org/10.61286/e-rms.v4i.359</w:t>
            </w:r>
            <w:r>
              <w:rPr>
                <w:rFonts w:asciiTheme="minorHAnsi" w:hAnsiTheme="minorHAnsi" w:cstheme="minorHAnsi"/>
                <w:sz w:val="16"/>
                <w:szCs w:val="16"/>
              </w:rPr>
              <w:fldChar w:fldCharType="end"/>
            </w:r>
          </w:p>
        </w:tc>
        <w:tc>
          <w:tcPr>
            <w:tcW w:w="4801" w:type="dxa"/>
          </w:tcPr>
          <w:p w14:paraId="727F1A86">
            <w:pPr>
              <w:pStyle w:val="2"/>
              <w:spacing w:before="60" w:after="60"/>
              <w:jc w:val="right"/>
              <w:rPr>
                <w:b w:val="0"/>
                <w:bCs w:val="0"/>
                <w:iCs/>
                <w:color w:val="558ED5" w:themeColor="text2" w:themeTint="99"/>
                <w:sz w:val="18"/>
                <w:szCs w:val="24"/>
                <w:u w:val="single"/>
                <w:lang w:val="es-VE"/>
                <w14:textFill>
                  <w14:solidFill>
                    <w14:schemeClr w14:val="tx2">
                      <w14:lumMod w14:val="60000"/>
                      <w14:lumOff w14:val="40000"/>
                    </w14:schemeClr>
                  </w14:solidFill>
                </w14:textFill>
              </w:rPr>
            </w:pPr>
            <w:r>
              <w:rPr>
                <w:rStyle w:val="10"/>
                <w:b w:val="0"/>
                <w:iCs w:val="0"/>
                <w:sz w:val="18"/>
              </w:rPr>
              <w:t>Artículo Original</w:t>
            </w:r>
          </w:p>
        </w:tc>
      </w:tr>
    </w:tbl>
    <w:p w14:paraId="2C83719F">
      <w:pPr>
        <w:jc w:val="both"/>
        <w:rPr>
          <w:rFonts w:eastAsia="Times New Roman" w:asciiTheme="minorHAnsi" w:hAnsiTheme="minorHAnsi"/>
          <w:b/>
          <w:bCs/>
          <w:sz w:val="28"/>
          <w:szCs w:val="28"/>
          <w:lang w:val="es-VE"/>
        </w:rPr>
      </w:pPr>
      <w:bookmarkStart w:id="0" w:name="التعليم_كرعاية._جودة_تنقذ"/>
      <w:bookmarkEnd w:id="0"/>
      <w:r>
        <w:rPr>
          <w:rFonts w:hint="default" w:eastAsia="Times New Roman" w:asciiTheme="minorHAnsi" w:hAnsiTheme="minorHAnsi"/>
          <w:b/>
          <w:bCs/>
          <w:sz w:val="28"/>
          <w:szCs w:val="28"/>
          <w:lang w:val="es-VE"/>
        </w:rPr>
        <w:t xml:space="preserve">La familia como núcleo de resistencia: reproducción simbólica en la rebelión de Túpac Amaru II </w:t>
      </w:r>
    </w:p>
    <w:p w14:paraId="44995D52">
      <w:pPr>
        <w:spacing w:after="0"/>
        <w:jc w:val="both"/>
        <w:rPr>
          <w:rFonts w:eastAsia="Times New Roman" w:asciiTheme="minorHAnsi" w:hAnsiTheme="minorHAnsi"/>
          <w:i/>
          <w:iCs/>
          <w:sz w:val="26"/>
          <w:szCs w:val="26"/>
        </w:rPr>
      </w:pPr>
      <w:r>
        <w:rPr>
          <w:rFonts w:hint="default" w:eastAsia="Times New Roman" w:asciiTheme="minorHAnsi" w:hAnsiTheme="minorHAnsi"/>
          <w:i/>
          <w:iCs/>
          <w:sz w:val="26"/>
          <w:szCs w:val="26"/>
        </w:rPr>
        <w:t xml:space="preserve">The family as a core of resistance: Symbolic </w:t>
      </w:r>
      <w:r>
        <w:rPr>
          <w:rFonts w:hint="default" w:eastAsia="Times New Roman" w:asciiTheme="minorHAnsi" w:hAnsiTheme="minorHAnsi"/>
          <w:i/>
          <w:iCs/>
          <w:sz w:val="26"/>
          <w:szCs w:val="26"/>
          <w:lang w:val="es-ES"/>
        </w:rPr>
        <w:t>r</w:t>
      </w:r>
      <w:r>
        <w:rPr>
          <w:rFonts w:hint="default" w:eastAsia="Times New Roman" w:asciiTheme="minorHAnsi" w:hAnsiTheme="minorHAnsi"/>
          <w:i/>
          <w:iCs/>
          <w:sz w:val="26"/>
          <w:szCs w:val="26"/>
        </w:rPr>
        <w:t xml:space="preserve">eproduction in the Túpac Amaru II </w:t>
      </w:r>
      <w:r>
        <w:rPr>
          <w:rFonts w:hint="default" w:eastAsia="Times New Roman" w:asciiTheme="minorHAnsi" w:hAnsiTheme="minorHAnsi"/>
          <w:i/>
          <w:iCs/>
          <w:sz w:val="26"/>
          <w:szCs w:val="26"/>
          <w:lang w:val="es-ES"/>
        </w:rPr>
        <w:t>r</w:t>
      </w:r>
      <w:r>
        <w:rPr>
          <w:rFonts w:hint="default" w:eastAsia="Times New Roman" w:asciiTheme="minorHAnsi" w:hAnsiTheme="minorHAnsi"/>
          <w:i/>
          <w:iCs/>
          <w:sz w:val="26"/>
          <w:szCs w:val="26"/>
        </w:rPr>
        <w:t>ebellion</w:t>
      </w:r>
    </w:p>
    <w:p w14:paraId="6F49F51E">
      <w:pPr>
        <w:spacing w:after="0" w:line="240" w:lineRule="auto"/>
        <w:jc w:val="both"/>
        <w:rPr>
          <w:rFonts w:hint="default" w:asciiTheme="minorHAnsi" w:hAnsiTheme="minorHAnsi" w:cstheme="minorHAnsi"/>
          <w:sz w:val="16"/>
          <w:szCs w:val="16"/>
          <w:lang w:val="es-ES"/>
        </w:rPr>
      </w:pPr>
      <w:r>
        <w:rPr>
          <w:rFonts w:hint="default" w:asciiTheme="minorHAnsi" w:hAnsiTheme="minorHAnsi" w:cstheme="minorHAnsi"/>
          <w:lang w:val="es-PE"/>
        </w:rPr>
        <w:t>Braulio</w:t>
      </w:r>
      <w:r>
        <w:rPr>
          <w:rFonts w:hint="default" w:asciiTheme="minorHAnsi" w:hAnsiTheme="minorHAnsi" w:cstheme="minorHAnsi"/>
          <w:lang w:val="es-ES"/>
        </w:rPr>
        <w:t>,</w:t>
      </w:r>
      <w:r>
        <w:rPr>
          <w:rFonts w:hint="default" w:asciiTheme="minorHAnsi" w:hAnsiTheme="minorHAnsi" w:cstheme="minorHAnsi"/>
          <w:lang w:val="es-PE"/>
        </w:rPr>
        <w:t xml:space="preserve"> Melchor-Acevedo</w:t>
      </w:r>
      <w:r>
        <w:rPr>
          <w:rFonts w:asciiTheme="minorHAnsi" w:hAnsiTheme="minorHAnsi" w:cstheme="minorHAnsi"/>
          <w:vertAlign w:val="superscript"/>
          <w:lang w:val="es-PE"/>
        </w:rPr>
        <w:t xml:space="preserve">1 </w:t>
      </w:r>
      <w:r>
        <w:rPr>
          <w:rFonts w:asciiTheme="minorHAnsi" w:hAnsiTheme="minorHAnsi" w:cstheme="minorHAnsi"/>
          <w:color w:val="1155CC"/>
        </w:rPr>
        <w:drawing>
          <wp:inline distT="0" distB="0" distL="0" distR="0">
            <wp:extent cx="121285" cy="121920"/>
            <wp:effectExtent l="0" t="0" r="0" b="0"/>
            <wp:docPr id="19" name="image3.pn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9"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r>
        <w:fldChar w:fldCharType="begin"/>
      </w:r>
      <w:r>
        <w:instrText xml:space="preserve"> HYPERLINK "http://orcid.org/0009-0005-7352-140X" \h </w:instrText>
      </w:r>
      <w:r>
        <w:fldChar w:fldCharType="separate"/>
      </w:r>
      <w:r>
        <w:fldChar w:fldCharType="end"/>
      </w:r>
      <w:r>
        <w:rPr>
          <w:rFonts w:eastAsia="Times New Roman" w:asciiTheme="minorHAnsi" w:hAnsiTheme="minorHAnsi" w:cstheme="minorHAnsi"/>
          <w:lang w:val="es-PE"/>
        </w:rPr>
        <w:t xml:space="preserve"> </w:t>
      </w:r>
      <w:r>
        <w:fldChar w:fldCharType="begin"/>
      </w:r>
      <w:r>
        <w:instrText xml:space="preserve"> HYPERLINK "mailto:pswilsonsaavedra@gmail.com" \h </w:instrText>
      </w:r>
      <w:r>
        <w:fldChar w:fldCharType="separate"/>
      </w:r>
      <w:r>
        <w:rPr>
          <w:rFonts w:asciiTheme="minorHAnsi" w:hAnsiTheme="minorHAnsi" w:cstheme="minorHAnsi"/>
          <w:color w:val="1155CC"/>
        </w:rPr>
        <w:drawing>
          <wp:inline distT="0" distB="0" distL="0" distR="0">
            <wp:extent cx="220345" cy="175260"/>
            <wp:effectExtent l="0" t="0" r="8255" b="0"/>
            <wp:docPr id="1947341874" name="image1.png" descr="Sobres de correo, sobres de correo, sobre png | PNGEg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947341874" name="image1.png" descr="Sobres de correo, sobres de correo, sobre png | PNGEgg"/>
                    <pic:cNvPicPr preferRelativeResize="0"/>
                  </pic:nvPicPr>
                  <pic:blipFill>
                    <a:blip r:embed="rId13"/>
                    <a:srcRect/>
                    <a:stretch>
                      <a:fillRect/>
                    </a:stretch>
                  </pic:blipFill>
                  <pic:spPr>
                    <a:xfrm>
                      <a:off x="0" y="0"/>
                      <a:ext cx="220630" cy="175460"/>
                    </a:xfrm>
                    <a:prstGeom prst="rect">
                      <a:avLst/>
                    </a:prstGeom>
                  </pic:spPr>
                </pic:pic>
              </a:graphicData>
            </a:graphic>
          </wp:inline>
        </w:drawing>
      </w:r>
      <w:r>
        <w:rPr>
          <w:rFonts w:asciiTheme="minorHAnsi" w:hAnsiTheme="minorHAnsi" w:cstheme="minorHAnsi"/>
          <w:color w:val="1155CC"/>
        </w:rPr>
        <w:fldChar w:fldCharType="end"/>
      </w:r>
      <w:r>
        <w:rPr>
          <w:rFonts w:asciiTheme="minorHAnsi" w:hAnsiTheme="minorHAnsi" w:cstheme="minorHAnsi"/>
          <w:lang w:val="es-PE"/>
        </w:rPr>
        <w:t xml:space="preserve">; </w:t>
      </w:r>
      <w:r>
        <w:rPr>
          <w:rFonts w:hint="default" w:asciiTheme="minorHAnsi" w:hAnsiTheme="minorHAnsi" w:cstheme="minorHAnsi"/>
          <w:lang w:val="es-PE"/>
        </w:rPr>
        <w:t>Erick Jorge</w:t>
      </w:r>
      <w:r>
        <w:rPr>
          <w:rFonts w:hint="default" w:asciiTheme="minorHAnsi" w:hAnsiTheme="minorHAnsi" w:cstheme="minorHAnsi"/>
          <w:lang w:val="es-ES"/>
        </w:rPr>
        <w:t>,</w:t>
      </w:r>
      <w:r>
        <w:rPr>
          <w:rFonts w:hint="default" w:asciiTheme="minorHAnsi" w:hAnsiTheme="minorHAnsi" w:cstheme="minorHAnsi"/>
          <w:lang w:val="es-PE"/>
        </w:rPr>
        <w:t xml:space="preserve"> Ordaz-Ordoñez</w:t>
      </w:r>
      <w:r>
        <w:rPr>
          <w:rFonts w:hint="default" w:asciiTheme="minorHAnsi" w:hAnsiTheme="minorHAnsi" w:cstheme="minorHAnsi"/>
          <w:vertAlign w:val="superscript"/>
          <w:lang w:val="es-ES"/>
        </w:rPr>
        <w:t>2</w:t>
      </w:r>
      <w:r>
        <w:rPr>
          <w:rFonts w:asciiTheme="minorHAnsi" w:hAnsiTheme="minorHAnsi" w:cstheme="minorHAnsi"/>
          <w:vertAlign w:val="superscript"/>
          <w:lang w:val="es-PE"/>
        </w:rPr>
        <w:t xml:space="preserve"> </w:t>
      </w:r>
      <w:r>
        <w:rPr>
          <w:rFonts w:asciiTheme="minorHAnsi" w:hAnsiTheme="minorHAnsi" w:cstheme="minorHAnsi"/>
          <w:color w:val="1155CC"/>
        </w:rPr>
        <w:drawing>
          <wp:inline distT="0" distB="0" distL="0" distR="0">
            <wp:extent cx="121285" cy="121920"/>
            <wp:effectExtent l="0" t="0" r="0" b="0"/>
            <wp:docPr id="935570620" name="image3.pn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35570620"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r>
        <w:fldChar w:fldCharType="begin"/>
      </w:r>
      <w:r>
        <w:instrText xml:space="preserve"> HYPERLINK "http://orcid.org/0009-0005-7352-140X" \h </w:instrText>
      </w:r>
      <w:r>
        <w:fldChar w:fldCharType="separate"/>
      </w:r>
      <w:r>
        <w:fldChar w:fldCharType="end"/>
      </w:r>
      <w:r>
        <w:rPr>
          <w:rFonts w:asciiTheme="minorHAnsi" w:hAnsiTheme="minorHAnsi" w:cstheme="minorHAnsi"/>
          <w:lang w:val="es-PE"/>
        </w:rPr>
        <w:t xml:space="preserve">; </w:t>
      </w:r>
      <w:r>
        <w:rPr>
          <w:rFonts w:hint="default" w:asciiTheme="minorHAnsi" w:hAnsiTheme="minorHAnsi" w:cstheme="minorHAnsi"/>
          <w:lang w:val="es-PE"/>
        </w:rPr>
        <w:t>Raúl Jesús</w:t>
      </w:r>
      <w:r>
        <w:rPr>
          <w:rFonts w:hint="default" w:asciiTheme="minorHAnsi" w:hAnsiTheme="minorHAnsi" w:cstheme="minorHAnsi"/>
          <w:lang w:val="es-ES"/>
        </w:rPr>
        <w:t>,</w:t>
      </w:r>
      <w:r>
        <w:rPr>
          <w:rFonts w:hint="default" w:asciiTheme="minorHAnsi" w:hAnsiTheme="minorHAnsi" w:cstheme="minorHAnsi"/>
          <w:lang w:val="es-PE"/>
        </w:rPr>
        <w:t xml:space="preserve"> Fernández-Jurado</w:t>
      </w:r>
      <w:r>
        <w:rPr>
          <w:rFonts w:hint="default" w:asciiTheme="minorHAnsi" w:cstheme="minorHAnsi"/>
          <w:vertAlign w:val="superscript"/>
          <w:lang w:val="es-ES"/>
        </w:rPr>
        <w:t>1</w:t>
      </w:r>
      <w:r>
        <w:rPr>
          <w:rFonts w:cstheme="minorHAnsi"/>
          <w:color w:val="1155CC"/>
          <w:sz w:val="16"/>
          <w:szCs w:val="16"/>
        </w:rPr>
        <w:t xml:space="preserve"> </w:t>
      </w:r>
      <w:r>
        <w:fldChar w:fldCharType="begin"/>
      </w:r>
      <w:r>
        <w:instrText xml:space="preserve"> HYPERLINK "http://orcid.org/0000-0002-8169-220" \h </w:instrText>
      </w:r>
      <w:r>
        <w:fldChar w:fldCharType="separate"/>
      </w:r>
      <w:r>
        <w:rPr>
          <w:rFonts w:cstheme="minorHAnsi"/>
          <w:color w:val="1155CC"/>
          <w:sz w:val="16"/>
          <w:szCs w:val="16"/>
        </w:rPr>
        <w:drawing>
          <wp:inline distT="0" distB="0" distL="0" distR="0">
            <wp:extent cx="121285" cy="121920"/>
            <wp:effectExtent l="0" t="0" r="0" b="0"/>
            <wp:docPr id="16" name="image3.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6"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r>
        <w:rPr>
          <w:rFonts w:cstheme="minorHAnsi"/>
          <w:color w:val="1155CC"/>
          <w:sz w:val="16"/>
          <w:szCs w:val="16"/>
        </w:rPr>
        <w:fldChar w:fldCharType="end"/>
      </w:r>
      <w:r>
        <w:rPr>
          <w:rFonts w:hint="default" w:cstheme="minorHAnsi"/>
          <w:color w:val="1155CC"/>
          <w:sz w:val="16"/>
          <w:szCs w:val="16"/>
          <w:lang w:val="es-ES"/>
        </w:rPr>
        <w:t xml:space="preserve">; </w:t>
      </w:r>
      <w:r>
        <w:rPr>
          <w:rFonts w:hint="default" w:asciiTheme="minorHAnsi" w:hAnsiTheme="minorHAnsi" w:cstheme="minorHAnsi"/>
          <w:lang w:val="es-PE"/>
        </w:rPr>
        <w:t>Ricardo Alexande</w:t>
      </w:r>
      <w:r>
        <w:rPr>
          <w:rFonts w:hint="default" w:asciiTheme="minorHAnsi" w:hAnsiTheme="minorHAnsi" w:cstheme="minorHAnsi"/>
          <w:lang w:val="es-ES"/>
        </w:rPr>
        <w:t xml:space="preserve">r, </w:t>
      </w:r>
      <w:r>
        <w:rPr>
          <w:rFonts w:hint="default" w:asciiTheme="minorHAnsi" w:hAnsiTheme="minorHAnsi" w:cstheme="minorHAnsi"/>
          <w:lang w:val="es-PE"/>
        </w:rPr>
        <w:t xml:space="preserve"> Sedano-Taipe</w:t>
      </w:r>
      <w:r>
        <w:rPr>
          <w:rFonts w:hint="default" w:asciiTheme="minorHAnsi" w:cstheme="minorHAnsi"/>
          <w:vertAlign w:val="superscript"/>
          <w:lang w:val="es-ES"/>
        </w:rPr>
        <w:t>1</w:t>
      </w:r>
      <w:r>
        <w:rPr>
          <w:rFonts w:cstheme="minorHAnsi"/>
          <w:color w:val="1155CC"/>
          <w:sz w:val="16"/>
          <w:szCs w:val="16"/>
        </w:rPr>
        <w:t xml:space="preserve"> </w:t>
      </w:r>
      <w:r>
        <w:fldChar w:fldCharType="begin"/>
      </w:r>
      <w:r>
        <w:instrText xml:space="preserve"> HYPERLINK "http://orcid.org/0000-0002-8169-220" \h </w:instrText>
      </w:r>
      <w:r>
        <w:fldChar w:fldCharType="separate"/>
      </w:r>
      <w:r>
        <w:rPr>
          <w:rFonts w:cstheme="minorHAnsi"/>
          <w:color w:val="1155CC"/>
          <w:sz w:val="16"/>
          <w:szCs w:val="16"/>
        </w:rPr>
        <w:drawing>
          <wp:inline distT="0" distB="0" distL="0" distR="0">
            <wp:extent cx="121285" cy="121920"/>
            <wp:effectExtent l="0" t="0" r="635" b="0"/>
            <wp:docPr id="1" name="image3.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r>
        <w:rPr>
          <w:rFonts w:cstheme="minorHAnsi"/>
          <w:color w:val="1155CC"/>
          <w:sz w:val="16"/>
          <w:szCs w:val="16"/>
        </w:rPr>
        <w:fldChar w:fldCharType="end"/>
      </w:r>
      <w:r>
        <w:rPr>
          <w:rFonts w:hint="default" w:cstheme="minorHAnsi"/>
          <w:color w:val="1155CC"/>
          <w:sz w:val="16"/>
          <w:szCs w:val="16"/>
          <w:lang w:val="es-ES"/>
        </w:rPr>
        <w:t xml:space="preserve">; </w:t>
      </w:r>
      <w:r>
        <w:rPr>
          <w:rFonts w:hint="default" w:asciiTheme="minorHAnsi" w:hAnsiTheme="minorHAnsi" w:cstheme="minorHAnsi"/>
          <w:lang w:val="es-PE"/>
        </w:rPr>
        <w:t>Oscar</w:t>
      </w:r>
      <w:r>
        <w:rPr>
          <w:rFonts w:hint="default" w:asciiTheme="minorHAnsi" w:hAnsiTheme="minorHAnsi" w:cstheme="minorHAnsi"/>
          <w:lang w:val="es-ES"/>
        </w:rPr>
        <w:t>,</w:t>
      </w:r>
      <w:r>
        <w:rPr>
          <w:rFonts w:hint="default" w:asciiTheme="minorHAnsi" w:hAnsiTheme="minorHAnsi" w:cstheme="minorHAnsi"/>
          <w:lang w:val="es-PE"/>
        </w:rPr>
        <w:t xml:space="preserve"> Llancari Choccez</w:t>
      </w:r>
      <w:r>
        <w:rPr>
          <w:rFonts w:hint="default" w:asciiTheme="minorHAnsi" w:hAnsiTheme="minorHAnsi" w:cstheme="minorHAnsi"/>
          <w:vertAlign w:val="superscript"/>
          <w:lang w:val="es-ES"/>
        </w:rPr>
        <w:t>1</w:t>
      </w:r>
      <w:r>
        <w:rPr>
          <w:rFonts w:asciiTheme="minorHAnsi" w:hAnsiTheme="minorHAnsi" w:cstheme="minorHAnsi"/>
          <w:vertAlign w:val="superscript"/>
          <w:lang w:val="es-PE"/>
        </w:rPr>
        <w:t xml:space="preserve"> </w:t>
      </w:r>
      <w:r>
        <w:rPr>
          <w:rFonts w:asciiTheme="minorHAnsi" w:hAnsiTheme="minorHAnsi" w:cstheme="minorHAnsi"/>
          <w:color w:val="1155CC"/>
        </w:rPr>
        <w:drawing>
          <wp:inline distT="0" distB="0" distL="0" distR="0">
            <wp:extent cx="121285" cy="121920"/>
            <wp:effectExtent l="0" t="0" r="635" b="0"/>
            <wp:docPr id="3" name="image3.pn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1"/>
                    <a:srcRect/>
                    <a:stretch>
                      <a:fillRect/>
                    </a:stretch>
                  </pic:blipFill>
                  <pic:spPr>
                    <a:xfrm>
                      <a:off x="0" y="0"/>
                      <a:ext cx="121919" cy="121920"/>
                    </a:xfrm>
                    <a:prstGeom prst="rect">
                      <a:avLst/>
                    </a:prstGeom>
                  </pic:spPr>
                </pic:pic>
              </a:graphicData>
            </a:graphic>
          </wp:inline>
        </w:drawing>
      </w:r>
      <w:r>
        <w:fldChar w:fldCharType="begin"/>
      </w:r>
      <w:r>
        <w:instrText xml:space="preserve"> HYPERLINK "http://orcid.org/0009-0005-7352-140X" \h </w:instrText>
      </w:r>
      <w:r>
        <w:fldChar w:fldCharType="separate"/>
      </w:r>
      <w:r>
        <w:fldChar w:fldCharType="end"/>
      </w:r>
    </w:p>
    <w:p w14:paraId="296472C0">
      <w:pPr>
        <w:spacing w:after="0" w:line="240" w:lineRule="auto"/>
        <w:ind w:left="360"/>
        <w:jc w:val="both"/>
        <w:rPr>
          <w:sz w:val="6"/>
          <w:szCs w:val="6"/>
          <w:lang w:val="es-PE"/>
        </w:rPr>
      </w:pPr>
      <w:bookmarkStart w:id="1" w:name="_Hlk193376501"/>
    </w:p>
    <w:bookmarkEnd w:id="1"/>
    <w:p w14:paraId="034D71A5">
      <w:pPr>
        <w:numPr>
          <w:ilvl w:val="0"/>
          <w:numId w:val="2"/>
        </w:numPr>
        <w:spacing w:after="0" w:line="240" w:lineRule="auto"/>
        <w:jc w:val="both"/>
        <w:rPr>
          <w:sz w:val="16"/>
          <w:szCs w:val="16"/>
          <w:lang w:val="es-PE"/>
        </w:rPr>
      </w:pPr>
      <w:r>
        <w:rPr>
          <w:rFonts w:hint="default"/>
          <w:color w:val="000000"/>
          <w:sz w:val="16"/>
          <w:szCs w:val="16"/>
          <w:lang w:val="es-PE"/>
        </w:rPr>
        <w:t>Universidad Nacional de Huancavelica, Huancavelica, Perú</w:t>
      </w:r>
      <w:r>
        <w:rPr>
          <w:color w:val="000000"/>
          <w:sz w:val="16"/>
          <w:szCs w:val="16"/>
          <w:lang w:val="es-PE"/>
        </w:rPr>
        <w:t>.</w:t>
      </w:r>
    </w:p>
    <w:p w14:paraId="4D0D703A">
      <w:pPr>
        <w:numPr>
          <w:ilvl w:val="0"/>
          <w:numId w:val="2"/>
        </w:numPr>
        <w:spacing w:after="0" w:line="240" w:lineRule="auto"/>
        <w:jc w:val="both"/>
        <w:rPr>
          <w:sz w:val="16"/>
          <w:szCs w:val="16"/>
        </w:rPr>
      </w:pPr>
      <w:r>
        <w:rPr>
          <w:rFonts w:hint="default"/>
          <w:color w:val="000000"/>
          <w:sz w:val="16"/>
          <w:szCs w:val="16"/>
        </w:rPr>
        <w:t>Universidad Nacional del Centro del Perú, Huancayo, Perú</w:t>
      </w:r>
      <w:r>
        <w:rPr>
          <w:color w:val="000000"/>
          <w:sz w:val="16"/>
          <w:szCs w:val="16"/>
        </w:rPr>
        <w:t>.</w:t>
      </w:r>
    </w:p>
    <w:p w14:paraId="1354DEB8">
      <w:pPr>
        <w:pStyle w:val="40"/>
        <w:numPr>
          <w:ilvl w:val="0"/>
          <w:numId w:val="0"/>
        </w:numPr>
        <w:rPr>
          <w:sz w:val="2"/>
          <w:szCs w:val="6"/>
          <w:lang w:val="es-VE"/>
        </w:rPr>
      </w:pPr>
    </w:p>
    <w:p w14:paraId="251AD17A">
      <w:pPr>
        <w:pStyle w:val="21"/>
        <w:rPr>
          <w:i w:val="0"/>
          <w:sz w:val="24"/>
        </w:rPr>
      </w:pPr>
      <w:r>
        <w:rPr>
          <w:i w:val="0"/>
          <w:sz w:val="24"/>
        </w:rPr>
        <w:t>Resumen</w:t>
      </w:r>
      <w:bookmarkStart w:id="3" w:name="_GoBack"/>
      <w:bookmarkEnd w:id="3"/>
    </w:p>
    <w:p w14:paraId="04594473">
      <w:pPr>
        <w:pStyle w:val="39"/>
        <w:pBdr>
          <w:bottom w:val="single" w:color="auto" w:sz="12" w:space="1"/>
        </w:pBdr>
        <w:rPr>
          <w:rFonts w:hint="default"/>
          <w:sz w:val="16"/>
          <w:szCs w:val="18"/>
        </w:rPr>
      </w:pPr>
      <w:r>
        <w:rPr>
          <w:rFonts w:hint="default"/>
          <w:sz w:val="16"/>
          <w:szCs w:val="18"/>
        </w:rPr>
        <w:t>La historiografía tradicional sobre la rebelión de Túpac Amaru II ha priorizado enfoques estructurales y políticos, invisibilizando la dimensión afectiva y familiar que vertebró la insurgencia y su resistencia frente al orden colonial. Este artículo aborda dicha problemática mediante un estudio de enfoque cualitativo e interpretativo, que articula dos estrategias metodológicas: un análisis histórico–documental de la familia Condorcanqui–Bastidas y una autoetnografía reflexiva sobre una crisis de salud familiar contemporánea. Los resultados demuestran que, en ambos escenarios, la familia opera como un núcleo estratégico de resistencia donde el amor, el cuidado mutuo y el compromiso compartido trascienden la esfera doméstica para constituirse en fuerzas movilizadoras ante contextos de amenaza extrema. Asimismo, se identificaron resonancias simbólicas que vinculan la lucha política del siglo XVIII con la lucha vital contemporánea, revelando que los vínculos de parentesco actúan como una tecnología de supervivencia emocional frente a la desarticulación impuesta por fuerzas externas. Se concluye que la dimensión afectiva es un componente esencial y no secundario de la resistencia, sugiriendo que los procesos sociales de lucha</w:t>
      </w:r>
      <w:r>
        <w:rPr>
          <w:rFonts w:hint="default"/>
          <w:sz w:val="16"/>
          <w:szCs w:val="18"/>
          <w:lang w:val="es-ES"/>
        </w:rPr>
        <w:t xml:space="preserve">, </w:t>
      </w:r>
      <w:r>
        <w:rPr>
          <w:rFonts w:hint="default"/>
          <w:sz w:val="16"/>
          <w:szCs w:val="18"/>
        </w:rPr>
        <w:t>tanto históricos como actuales</w:t>
      </w:r>
      <w:r>
        <w:rPr>
          <w:rFonts w:hint="default"/>
          <w:sz w:val="16"/>
          <w:szCs w:val="18"/>
          <w:lang w:val="es-ES"/>
        </w:rPr>
        <w:t>,</w:t>
      </w:r>
      <w:r>
        <w:rPr>
          <w:rFonts w:hint="default"/>
          <w:sz w:val="16"/>
          <w:szCs w:val="18"/>
        </w:rPr>
        <w:t xml:space="preserve"> encuentran su coherencia y persistencia en los vínculos íntimos que dotan de dignidad y sentido a la vida frente a la adversidad. Esta lectura antropológica permite reconocer que la resistencia es, ante todo, una práctica relacional que preserva la identidad y la memoria colectiva.</w:t>
      </w:r>
    </w:p>
    <w:p w14:paraId="70D7F46D">
      <w:pPr>
        <w:pStyle w:val="39"/>
        <w:pBdr>
          <w:bottom w:val="single" w:color="auto" w:sz="12" w:space="1"/>
        </w:pBdr>
        <w:rPr>
          <w:sz w:val="16"/>
          <w:szCs w:val="18"/>
        </w:rPr>
      </w:pPr>
      <w:r>
        <w:rPr>
          <w:rFonts w:hint="default"/>
          <w:b/>
          <w:bCs/>
          <w:sz w:val="16"/>
          <w:szCs w:val="18"/>
        </w:rPr>
        <w:t>Palabras clave</w:t>
      </w:r>
      <w:r>
        <w:rPr>
          <w:rFonts w:hint="default"/>
          <w:sz w:val="16"/>
          <w:szCs w:val="18"/>
        </w:rPr>
        <w:t>: antropología histórica, familia, resistencia, Túpac Amaru II, autoetnografía.</w:t>
      </w:r>
      <w:r>
        <w:rPr>
          <w:sz w:val="16"/>
          <w:szCs w:val="18"/>
        </w:rPr>
        <w:t xml:space="preserve">.  </w:t>
      </w:r>
    </w:p>
    <w:p w14:paraId="27C8FA40">
      <w:pPr>
        <w:pStyle w:val="21"/>
        <w:rPr>
          <w:rStyle w:val="13"/>
          <w:b/>
          <w:bCs w:val="0"/>
          <w:i w:val="0"/>
          <w:sz w:val="24"/>
          <w:lang w:val="en-US"/>
        </w:rPr>
      </w:pPr>
      <w:r>
        <w:rPr>
          <w:rStyle w:val="13"/>
          <w:b/>
          <w:bCs w:val="0"/>
          <w:i w:val="0"/>
          <w:sz w:val="24"/>
          <w:lang w:val="en-US"/>
        </w:rPr>
        <w:t xml:space="preserve">Abstract </w:t>
      </w:r>
    </w:p>
    <w:p w14:paraId="113F7A7F">
      <w:pPr>
        <w:pStyle w:val="39"/>
        <w:pBdr>
          <w:bottom w:val="single" w:color="auto" w:sz="12" w:space="1"/>
        </w:pBdr>
        <w:rPr>
          <w:rFonts w:hint="default" w:asciiTheme="minorHAnsi" w:hAnsiTheme="minorHAnsi" w:cstheme="minorHAnsi"/>
          <w:sz w:val="16"/>
          <w:szCs w:val="16"/>
        </w:rPr>
      </w:pPr>
      <w:r>
        <w:rPr>
          <w:rFonts w:hint="default" w:asciiTheme="minorHAnsi" w:hAnsiTheme="minorHAnsi" w:cstheme="minorHAnsi"/>
          <w:sz w:val="16"/>
          <w:szCs w:val="16"/>
        </w:rPr>
        <w:t>Traditional historiography regarding the Túpac Amaru II rebellion has prioritized structural and political approaches, often overlooking the affective and familiar dimension that underpinned the insurgency and its resistance against the colonial order. This article addresses this issue through a qualitative and interpretive study that articulates two methodological strategies: a historical-documentary analysis of the Condorcanqui–Bastidas family and a reflexive autoethnography based on a contemporary family health crisis. The results demonstrate that, in both scenarios, the family functions as a strategic nucleus of resistance where love, mutual care, and shared commitment transcend the domestic sphere to become mobilizing forces in contexts of extreme threat. Furthermore, symbolic resonances were identified that link the 18th-century political struggle with the contemporary vital struggle, revealing that kinship bonds act as a "technology of emotional survival" against the disintegration imposed by external forces. The article concludes that the affective dimension is an essential</w:t>
      </w:r>
      <w:r>
        <w:rPr>
          <w:rFonts w:hint="default" w:cstheme="minorHAnsi"/>
          <w:sz w:val="16"/>
          <w:szCs w:val="16"/>
          <w:lang w:val="es-ES"/>
        </w:rPr>
        <w:t xml:space="preserve">, </w:t>
      </w:r>
      <w:r>
        <w:rPr>
          <w:rFonts w:hint="default" w:asciiTheme="minorHAnsi" w:hAnsiTheme="minorHAnsi" w:cstheme="minorHAnsi"/>
          <w:sz w:val="16"/>
          <w:szCs w:val="16"/>
        </w:rPr>
        <w:t>not secondary</w:t>
      </w:r>
      <w:r>
        <w:rPr>
          <w:rFonts w:hint="default" w:cstheme="minorHAnsi"/>
          <w:sz w:val="16"/>
          <w:szCs w:val="16"/>
          <w:lang w:val="es-ES"/>
        </w:rPr>
        <w:t>,</w:t>
      </w:r>
      <w:r>
        <w:rPr>
          <w:rFonts w:hint="default" w:asciiTheme="minorHAnsi" w:hAnsiTheme="minorHAnsi" w:cstheme="minorHAnsi"/>
          <w:sz w:val="16"/>
          <w:szCs w:val="16"/>
        </w:rPr>
        <w:t>component of resistance, suggesting that social processes of struggle</w:t>
      </w:r>
      <w:r>
        <w:rPr>
          <w:rFonts w:hint="default" w:cstheme="minorHAnsi"/>
          <w:sz w:val="16"/>
          <w:szCs w:val="16"/>
          <w:lang w:val="es-ES"/>
        </w:rPr>
        <w:t xml:space="preserve">, </w:t>
      </w:r>
      <w:r>
        <w:rPr>
          <w:rFonts w:hint="default" w:asciiTheme="minorHAnsi" w:hAnsiTheme="minorHAnsi" w:cstheme="minorHAnsi"/>
          <w:sz w:val="16"/>
          <w:szCs w:val="16"/>
        </w:rPr>
        <w:t>both historical and current</w:t>
      </w:r>
      <w:r>
        <w:rPr>
          <w:rFonts w:hint="default" w:cstheme="minorHAnsi"/>
          <w:sz w:val="16"/>
          <w:szCs w:val="16"/>
          <w:lang w:val="es-ES"/>
        </w:rPr>
        <w:t xml:space="preserve">, </w:t>
      </w:r>
      <w:r>
        <w:rPr>
          <w:rFonts w:hint="default" w:asciiTheme="minorHAnsi" w:hAnsiTheme="minorHAnsi" w:cstheme="minorHAnsi"/>
          <w:sz w:val="16"/>
          <w:szCs w:val="16"/>
        </w:rPr>
        <w:t>find their coherence and persistence in the intimate bonds that endow life with dignity and meaning in the face of adversity. This anthropological reading allows us to recognize that resistance is, above all, a relational practice that preserves identity and collective memory.</w:t>
      </w:r>
    </w:p>
    <w:p w14:paraId="69A9630B">
      <w:pPr>
        <w:pStyle w:val="39"/>
        <w:pBdr>
          <w:bottom w:val="single" w:color="auto" w:sz="12" w:space="1"/>
        </w:pBdr>
        <w:rPr>
          <w:sz w:val="16"/>
          <w:szCs w:val="18"/>
          <w:lang w:val="en-US"/>
        </w:rPr>
      </w:pPr>
      <w:r>
        <w:rPr>
          <w:rFonts w:hint="default" w:asciiTheme="minorHAnsi" w:hAnsiTheme="minorHAnsi" w:cstheme="minorHAnsi"/>
          <w:b/>
          <w:bCs/>
          <w:sz w:val="16"/>
          <w:szCs w:val="16"/>
        </w:rPr>
        <w:t>Keywords</w:t>
      </w:r>
      <w:r>
        <w:rPr>
          <w:rFonts w:hint="default" w:asciiTheme="minorHAnsi" w:hAnsiTheme="minorHAnsi" w:cstheme="minorHAnsi"/>
          <w:sz w:val="16"/>
          <w:szCs w:val="16"/>
        </w:rPr>
        <w:t>: historical anthropology, family, resistance, Túpac Amaru II, autoethnography.</w:t>
      </w:r>
      <w:r>
        <w:rPr>
          <w:sz w:val="16"/>
          <w:szCs w:val="18"/>
          <w:lang w:val="en-US"/>
        </w:rPr>
        <w:t xml:space="preserve"> </w:t>
      </w:r>
    </w:p>
    <w:tbl>
      <w:tblPr>
        <w:tblStyle w:val="24"/>
        <w:tblW w:w="0" w:type="auto"/>
        <w:tblInd w:w="0" w:type="dxa"/>
        <w:tblBorders>
          <w:top w:val="single" w:color="0070C0" w:sz="6" w:space="0"/>
          <w:left w:val="single" w:color="0070C0" w:sz="6" w:space="0"/>
          <w:bottom w:val="single" w:color="0070C0" w:sz="6" w:space="0"/>
          <w:right w:val="single" w:color="0070C0" w:sz="6" w:space="0"/>
          <w:insideH w:val="single" w:color="0070C0" w:sz="6" w:space="0"/>
          <w:insideV w:val="single" w:color="0070C0" w:sz="6" w:space="0"/>
        </w:tblBorders>
        <w:tblLayout w:type="autofit"/>
        <w:tblCellMar>
          <w:top w:w="0" w:type="dxa"/>
          <w:left w:w="108" w:type="dxa"/>
          <w:bottom w:w="0" w:type="dxa"/>
          <w:right w:w="108" w:type="dxa"/>
        </w:tblCellMar>
      </w:tblPr>
      <w:tblGrid>
        <w:gridCol w:w="1565"/>
        <w:gridCol w:w="1563"/>
        <w:gridCol w:w="1566"/>
        <w:gridCol w:w="1564"/>
        <w:gridCol w:w="1566"/>
        <w:gridCol w:w="1564"/>
      </w:tblGrid>
      <w:tr w14:paraId="1CF106A1">
        <w:tblPrEx>
          <w:tblBorders>
            <w:top w:val="single" w:color="0070C0" w:sz="6" w:space="0"/>
            <w:left w:val="single" w:color="0070C0" w:sz="6" w:space="0"/>
            <w:bottom w:val="single" w:color="0070C0" w:sz="6" w:space="0"/>
            <w:right w:val="single" w:color="0070C0" w:sz="6" w:space="0"/>
            <w:insideH w:val="single" w:color="0070C0" w:sz="6" w:space="0"/>
            <w:insideV w:val="single" w:color="0070C0" w:sz="6" w:space="0"/>
          </w:tblBorders>
        </w:tblPrEx>
        <w:tc>
          <w:tcPr>
            <w:tcW w:w="1565" w:type="dxa"/>
            <w:shd w:val="clear" w:color="auto" w:fill="auto"/>
          </w:tcPr>
          <w:p w14:paraId="22498FB7">
            <w:pPr>
              <w:spacing w:after="0" w:line="240" w:lineRule="auto"/>
              <w:jc w:val="both"/>
              <w:rPr>
                <w:rFonts w:cs="Times New Roman" w:asciiTheme="minorHAnsi" w:hAnsiTheme="minorHAnsi"/>
                <w:sz w:val="16"/>
                <w:szCs w:val="16"/>
              </w:rPr>
            </w:pPr>
            <w:r>
              <w:rPr>
                <w:rFonts w:cs="Times New Roman" w:asciiTheme="minorHAnsi" w:hAnsiTheme="minorHAnsi"/>
                <w:sz w:val="16"/>
                <w:szCs w:val="16"/>
              </w:rPr>
              <w:t>Recibido/Received</w:t>
            </w:r>
          </w:p>
        </w:tc>
        <w:tc>
          <w:tcPr>
            <w:tcW w:w="1563" w:type="dxa"/>
            <w:shd w:val="clear" w:color="auto" w:fill="auto"/>
          </w:tcPr>
          <w:p w14:paraId="7B1B1679">
            <w:pPr>
              <w:spacing w:after="0" w:line="240" w:lineRule="auto"/>
              <w:jc w:val="center"/>
              <w:rPr>
                <w:rFonts w:cs="Times New Roman" w:asciiTheme="minorHAnsi" w:hAnsiTheme="minorHAnsi"/>
                <w:sz w:val="16"/>
                <w:szCs w:val="16"/>
                <w:lang w:val="es-ES"/>
              </w:rPr>
            </w:pPr>
            <w:r>
              <w:rPr>
                <w:rFonts w:hint="default" w:cs="Times New Roman" w:asciiTheme="minorHAnsi" w:hAnsiTheme="minorHAnsi"/>
                <w:sz w:val="16"/>
                <w:szCs w:val="16"/>
                <w:lang w:val="es-ES"/>
              </w:rPr>
              <w:t>17-03</w:t>
            </w:r>
            <w:r>
              <w:rPr>
                <w:rFonts w:cs="Times New Roman" w:asciiTheme="minorHAnsi" w:hAnsiTheme="minorHAnsi"/>
                <w:sz w:val="16"/>
                <w:szCs w:val="16"/>
                <w:lang w:val="es-ES"/>
              </w:rPr>
              <w:t>-2026</w:t>
            </w:r>
          </w:p>
        </w:tc>
        <w:tc>
          <w:tcPr>
            <w:tcW w:w="1566" w:type="dxa"/>
            <w:shd w:val="clear" w:color="auto" w:fill="auto"/>
          </w:tcPr>
          <w:p w14:paraId="593A2C99">
            <w:pPr>
              <w:spacing w:after="0" w:line="240" w:lineRule="auto"/>
              <w:jc w:val="both"/>
              <w:rPr>
                <w:rFonts w:cs="Times New Roman" w:asciiTheme="minorHAnsi" w:hAnsiTheme="minorHAnsi"/>
                <w:sz w:val="16"/>
                <w:szCs w:val="16"/>
              </w:rPr>
            </w:pPr>
            <w:r>
              <w:rPr>
                <w:rFonts w:cs="Times New Roman" w:asciiTheme="minorHAnsi" w:hAnsiTheme="minorHAnsi"/>
                <w:sz w:val="16"/>
                <w:szCs w:val="16"/>
              </w:rPr>
              <w:t>Aprobado/Approved</w:t>
            </w:r>
          </w:p>
        </w:tc>
        <w:tc>
          <w:tcPr>
            <w:tcW w:w="1564" w:type="dxa"/>
            <w:shd w:val="clear" w:color="auto" w:fill="auto"/>
          </w:tcPr>
          <w:p w14:paraId="27CDC12D">
            <w:pPr>
              <w:spacing w:after="0" w:line="240" w:lineRule="auto"/>
              <w:jc w:val="center"/>
              <w:rPr>
                <w:rFonts w:cs="Times New Roman" w:asciiTheme="minorHAnsi" w:hAnsiTheme="minorHAnsi"/>
                <w:sz w:val="16"/>
                <w:szCs w:val="16"/>
                <w:lang w:val="es-ES"/>
              </w:rPr>
            </w:pPr>
            <w:r>
              <w:rPr>
                <w:rFonts w:hint="default" w:cs="Times New Roman" w:asciiTheme="minorHAnsi" w:hAnsiTheme="minorHAnsi"/>
                <w:sz w:val="16"/>
                <w:szCs w:val="16"/>
                <w:lang w:val="es-ES"/>
              </w:rPr>
              <w:t>22-05</w:t>
            </w:r>
            <w:r>
              <w:rPr>
                <w:rFonts w:cs="Times New Roman" w:asciiTheme="minorHAnsi" w:hAnsiTheme="minorHAnsi"/>
                <w:sz w:val="16"/>
                <w:szCs w:val="16"/>
                <w:lang w:val="es-ES"/>
              </w:rPr>
              <w:t>-2026</w:t>
            </w:r>
          </w:p>
        </w:tc>
        <w:tc>
          <w:tcPr>
            <w:tcW w:w="1566" w:type="dxa"/>
            <w:shd w:val="clear" w:color="auto" w:fill="auto"/>
          </w:tcPr>
          <w:p w14:paraId="1B789BCA">
            <w:pPr>
              <w:spacing w:after="0" w:line="240" w:lineRule="auto"/>
              <w:jc w:val="both"/>
              <w:rPr>
                <w:rFonts w:cs="Times New Roman" w:asciiTheme="minorHAnsi" w:hAnsiTheme="minorHAnsi"/>
                <w:sz w:val="16"/>
                <w:szCs w:val="16"/>
              </w:rPr>
            </w:pPr>
            <w:r>
              <w:rPr>
                <w:rFonts w:cs="Times New Roman" w:asciiTheme="minorHAnsi" w:hAnsiTheme="minorHAnsi"/>
                <w:sz w:val="16"/>
                <w:szCs w:val="16"/>
              </w:rPr>
              <w:t>Publicado/Published</w:t>
            </w:r>
          </w:p>
        </w:tc>
        <w:tc>
          <w:tcPr>
            <w:tcW w:w="1564" w:type="dxa"/>
            <w:shd w:val="clear" w:color="auto" w:fill="auto"/>
          </w:tcPr>
          <w:p w14:paraId="7CFD4FF3">
            <w:pPr>
              <w:spacing w:after="0" w:line="240" w:lineRule="auto"/>
              <w:jc w:val="center"/>
              <w:rPr>
                <w:rFonts w:cs="Times New Roman" w:asciiTheme="minorHAnsi" w:hAnsiTheme="minorHAnsi"/>
                <w:sz w:val="16"/>
                <w:szCs w:val="16"/>
                <w:lang w:val="es-ES"/>
              </w:rPr>
            </w:pPr>
            <w:r>
              <w:rPr>
                <w:rFonts w:hint="default" w:cs="Times New Roman" w:asciiTheme="minorHAnsi" w:hAnsiTheme="minorHAnsi"/>
                <w:sz w:val="16"/>
                <w:szCs w:val="16"/>
                <w:lang w:val="es-ES"/>
              </w:rPr>
              <w:t>25-05-</w:t>
            </w:r>
            <w:r>
              <w:rPr>
                <w:rFonts w:cs="Times New Roman" w:asciiTheme="minorHAnsi" w:hAnsiTheme="minorHAnsi"/>
                <w:sz w:val="16"/>
                <w:szCs w:val="16"/>
                <w:lang w:val="es-ES"/>
              </w:rPr>
              <w:t>-2026</w:t>
            </w:r>
          </w:p>
        </w:tc>
      </w:tr>
    </w:tbl>
    <w:p w14:paraId="659810F3">
      <w:pPr>
        <w:rPr>
          <w:rFonts w:hint="default"/>
          <w:b/>
          <w:bCs/>
          <w:sz w:val="24"/>
          <w:lang w:val="es-ES"/>
        </w:rPr>
      </w:pPr>
      <w:r>
        <w:rPr>
          <w:b/>
          <w:bCs/>
          <w:sz w:val="24"/>
          <w:lang w:val="es-ES"/>
        </w:rPr>
        <w:br w:type="page"/>
      </w:r>
      <w:r>
        <w:rPr>
          <w:rFonts w:hint="default"/>
          <w:b/>
          <w:bCs/>
          <w:sz w:val="24"/>
          <w:lang w:val="es-ES"/>
        </w:rPr>
        <w:t>-</w:t>
      </w:r>
    </w:p>
    <w:p w14:paraId="15CF188A">
      <w:pPr>
        <w:pStyle w:val="32"/>
        <w:spacing w:before="120" w:beforeLines="50" w:after="0" w:line="240" w:lineRule="auto"/>
        <w:ind w:left="0"/>
        <w:jc w:val="both"/>
        <w:rPr>
          <w:b/>
          <w:bCs/>
          <w:sz w:val="24"/>
          <w:lang w:val="es-ES"/>
        </w:rPr>
      </w:pPr>
      <w:r>
        <w:rPr>
          <w:b/>
          <w:bCs/>
          <w:sz w:val="24"/>
          <w:lang w:val="es-ES"/>
        </w:rPr>
        <w:t>Introducción</w:t>
      </w:r>
    </w:p>
    <w:p w14:paraId="62F01463">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La historiografía tradicional sobre el siglo XVIII andino ha operado, durante décadas, bajo un paradigma que prioriza el análisis estructural del poder colonial, interpretando la rebelión de José Gabriel Condorcanqui, Túpac Amaru II, y Micaela Bastidas como un fenómeno esencialmente político, económico y militar. Esta perspectiva, consolidada por referentes ineludibles como O’Phelan (1979) y Walker (2015), ha diseccionado con maestría las causas coyunturales y las estrategias insurgentes que precipitaron la crisis del sistema virreinal. No obstante, al centrar la mirada en los grandes engranajes de la dominación, se ha relegado a un plano periférico la dimensión afectiva y doméstica que, en última instancia, vertebró el movimiento. Bajo esta estructura analítica, todavía subyace una historia pendiente de ser narrada: aquella que sitúa a los vínculos de parentesco no como elementos secundarios, sino como los ejes fundamentales sobre los cuales se construyó la resistencia frente al absolutismo.</w:t>
      </w:r>
    </w:p>
    <w:p w14:paraId="23FF451C">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La invisibilización de la dimensión familiar no constituye solo una omisión técnica, sino una pérdida significativa de humanidad en la comprensión del pasado. La historiografía reciente recuerda que los Condorcanqui–Bastidas no fueron únicamente insurgentes, sino padres, esposos y compañeros unidos por vínculos que desafiaron los límites de la supervivencia (Bunster &amp; Lorandi, 2025; Gutiérrez, 2006; O’Phelan, 2021). Cuando el tejido social se desmorona —ya sea bajo el peso de un imperio o de una crisis contemporánea—, el refugio primario no se encuentra en la ideología abstracta, sino en la solidez de los lazos íntimos.</w:t>
      </w:r>
    </w:p>
    <w:p w14:paraId="5ABCC7AA">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Desde la antropología, se reconoce que la familia trasciende la definición de una unidad de convivencia. Se constituye como un laboratorio de significados, un espacio donde se generan las convicciones morales que permiten la persistencia cotidiana (Fargas Peñarrocha, 2021). En el contexto de la rebelión, la táctica política no funcionó como una línea paralela al amor conyugal; representó su prolongación lógica. Se invita a considerar el peso de esa responsabilidad intergeneracional mientras el entorno se cargaba con la amenaza inminente de la corona.</w:t>
      </w:r>
    </w:p>
    <w:p w14:paraId="61FAB977">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Micaela Bastidas emerge, en este análisis, no como un personaje secundario, sino como el eje gravitacional de la insurgencia. Su figura, rescatada por estudios fundamentales (Fernández, 2005; Kanashiro, 2021; Pita Pico, 2019), desafió con naturalidad las estrechas limitaciones de género impuestas por la sociedad colonial. Ella no solo proveía logística; funcionaba como la arquitectura emocional que mantenía viva la llama del movimiento ante el avance de la desesperanza. Esta resistencia fue, ante todo, una práctica de cuidado mutuo y lealtad profunda (Arroyo, 2015; Ormeño, 2011).</w:t>
      </w:r>
    </w:p>
    <w:p w14:paraId="1850D890">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El presente artículo propone un ejercicio de interpretación humana que no pretende ser un estudio distante. Al adoptar una óptica antropológica, se sitúa el núcleo familiar en el centro del huracán histórico. Como método de indagación, se incorpora una experiencia personal autoetnográfica que sirve como puente, explorando cómo la crisis familiar, en cualquier tiempo, se convierte en el motor más potente para la resistencia (Arias, 2024).</w:t>
      </w:r>
    </w:p>
    <w:p w14:paraId="160ADBE5">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Esta investigación no intenta equiparar dos mundos que pertenecen a siglos distintos, sino capturar la resonancia simbólica que los une. La represión colonial tiene su reflejo en las adversidades actuales, y los vínculos íntimos mantienen la misma fuerza movilizadora. Estudios recientes sobre las élites indígenas y la feroz reacción colonial ante estos liderazgos (Guerrero Oñate, 2023; Huerta, 2021; Parodi-Revoredo &amp; Uzcátegui-Pacheco, 2025) invitan a ver la ruptura del orden colonial como un proceso sostenido, principalmente, por convicciones familiares inquebrantables (Escanilla, 2021; Quichua, 2021).</w:t>
      </w:r>
    </w:p>
    <w:p w14:paraId="7D281068">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Al examinar este proceso, es imposible ignorar la carga emotiva de la historia. Cuando el poder intenta desarticular a los individuos, la familia se transforma en una trinchera donde se preserva la identidad frente al olvido. La insurgencia, entonces, deja de ser un fenómeno de manual para convertirse en una encarnación del sacrificio. Esta investigación sostiene que, sin ese sustrato afectivo, la rebelión de Túpac Amaru II habría sido apenas una escaramuza más.</w:t>
      </w:r>
    </w:p>
    <w:p w14:paraId="2BF519D3">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A lo largo, se desgranará cómo los Condorcanqui–Bastidas demostraron que el afecto no representa una debilidad en tiempos de guerra; es, posiblemente, la forma más radical de insurgencia. Al situar este relato en el centro de la atención (Bazurco, 2020; Cahill, 1999; Jalal-Kermele, 2011), se busca contribuir a una comprensión más cálida, más real y, sobre todo, más humana de lo que significa luchar por un futuro posible. Se invita al lector a esta exploración, donde el rigor académico converge con la profundidad de lo que define, sencillamente, a la condición humana.</w:t>
      </w:r>
    </w:p>
    <w:p w14:paraId="77F11519">
      <w:pPr>
        <w:pStyle w:val="3"/>
        <w:rPr>
          <w:rFonts w:cstheme="minorHAnsi"/>
          <w:b w:val="0"/>
          <w:bCs w:val="0"/>
          <w:sz w:val="22"/>
          <w:szCs w:val="22"/>
        </w:rPr>
      </w:pPr>
      <w:r>
        <w:rPr>
          <w:rFonts w:cstheme="minorHAnsi"/>
          <w:sz w:val="22"/>
          <w:szCs w:val="22"/>
        </w:rPr>
        <w:t>Materiales y métodos</w:t>
      </w:r>
    </w:p>
    <w:p w14:paraId="1FD0B994">
      <w:pPr>
        <w:keepNext w:val="0"/>
        <w:keepLines w:val="0"/>
        <w:pageBreakBefore w:val="0"/>
        <w:widowControl/>
        <w:kinsoku/>
        <w:wordWrap/>
        <w:overflowPunct/>
        <w:topLinePunct w:val="0"/>
        <w:autoSpaceDE/>
        <w:autoSpaceDN/>
        <w:bidi w:val="0"/>
        <w:adjustRightInd/>
        <w:snapToGrid w:val="0"/>
        <w:spacing w:before="120" w:after="0" w:line="240" w:lineRule="auto"/>
        <w:ind w:firstLine="720"/>
        <w:jc w:val="both"/>
        <w:textAlignment w:val="auto"/>
        <w:rPr>
          <w:rFonts w:hint="default" w:ascii="Calibri" w:hAnsi="Calibri" w:cs="Calibri"/>
          <w:sz w:val="22"/>
          <w:szCs w:val="22"/>
        </w:rPr>
      </w:pPr>
      <w:r>
        <w:rPr>
          <w:rFonts w:hint="default" w:ascii="Calibri" w:hAnsi="Calibri" w:cs="Calibri"/>
          <w:sz w:val="22"/>
          <w:szCs w:val="22"/>
        </w:rPr>
        <w:t>El estudio adopta un enfoque cualitativo de tipo interpretativo (Tabla 1), asimismo, se emplean dos estrategias metodológicas principales:</w:t>
      </w:r>
    </w:p>
    <w:p w14:paraId="3E3F3E77">
      <w:pPr>
        <w:pStyle w:val="32"/>
        <w:keepNext w:val="0"/>
        <w:keepLines w:val="0"/>
        <w:pageBreakBefore w:val="0"/>
        <w:widowControl/>
        <w:numPr>
          <w:ilvl w:val="0"/>
          <w:numId w:val="3"/>
        </w:numPr>
        <w:kinsoku/>
        <w:wordWrap/>
        <w:overflowPunct/>
        <w:topLinePunct w:val="0"/>
        <w:autoSpaceDE/>
        <w:autoSpaceDN/>
        <w:bidi w:val="0"/>
        <w:adjustRightInd/>
        <w:snapToGrid w:val="0"/>
        <w:spacing w:before="120" w:after="0" w:line="240" w:lineRule="auto"/>
        <w:ind w:left="840" w:leftChars="0" w:hanging="420" w:firstLineChars="0"/>
        <w:jc w:val="both"/>
        <w:textAlignment w:val="auto"/>
        <w:rPr>
          <w:rFonts w:hint="default" w:ascii="Calibri" w:hAnsi="Calibri" w:cs="Calibri"/>
          <w:sz w:val="22"/>
          <w:szCs w:val="22"/>
        </w:rPr>
      </w:pPr>
      <w:r>
        <w:rPr>
          <w:rFonts w:hint="default" w:ascii="Calibri" w:hAnsi="Calibri" w:cs="Calibri"/>
          <w:sz w:val="22"/>
          <w:szCs w:val="22"/>
        </w:rPr>
        <w:t>Análisis histórico–documental, basado en las fuentes especializadas sobre Túpac Amaru II y Micaela Bastidas.</w:t>
      </w:r>
    </w:p>
    <w:p w14:paraId="52EDC41E">
      <w:pPr>
        <w:pStyle w:val="32"/>
        <w:keepNext w:val="0"/>
        <w:keepLines w:val="0"/>
        <w:pageBreakBefore w:val="0"/>
        <w:widowControl/>
        <w:numPr>
          <w:ilvl w:val="0"/>
          <w:numId w:val="3"/>
        </w:numPr>
        <w:kinsoku/>
        <w:wordWrap/>
        <w:overflowPunct/>
        <w:topLinePunct w:val="0"/>
        <w:autoSpaceDE/>
        <w:autoSpaceDN/>
        <w:bidi w:val="0"/>
        <w:adjustRightInd/>
        <w:snapToGrid w:val="0"/>
        <w:spacing w:before="240" w:after="0" w:line="240" w:lineRule="auto"/>
        <w:ind w:left="835" w:leftChars="0" w:hanging="418" w:firstLineChars="0"/>
        <w:jc w:val="both"/>
        <w:textAlignment w:val="auto"/>
        <w:rPr>
          <w:rFonts w:hint="default" w:ascii="Calibri" w:hAnsi="Calibri" w:cs="Calibri"/>
          <w:sz w:val="22"/>
          <w:szCs w:val="22"/>
        </w:rPr>
      </w:pPr>
      <w:r>
        <w:rPr>
          <w:rFonts w:hint="default" w:ascii="Calibri" w:hAnsi="Calibri" w:cs="Calibri"/>
          <w:sz w:val="22"/>
          <w:szCs w:val="22"/>
        </w:rPr>
        <w:t>Autoetnografía reflexiva, a partir de una experiencia personal de crisis de salud familiar, utilizada como recurso comparativo y analítico.</w:t>
      </w:r>
    </w:p>
    <w:p w14:paraId="3155ACFE">
      <w:pPr>
        <w:keepNext w:val="0"/>
        <w:keepLines w:val="0"/>
        <w:pageBreakBefore w:val="0"/>
        <w:widowControl/>
        <w:kinsoku/>
        <w:wordWrap/>
        <w:overflowPunct/>
        <w:topLinePunct w:val="0"/>
        <w:autoSpaceDE/>
        <w:autoSpaceDN/>
        <w:bidi w:val="0"/>
        <w:adjustRightInd/>
        <w:snapToGrid w:val="0"/>
        <w:spacing w:before="240" w:after="120" w:line="240" w:lineRule="auto"/>
        <w:jc w:val="both"/>
        <w:textAlignment w:val="auto"/>
        <w:rPr>
          <w:rFonts w:hint="default" w:ascii="Calibri" w:hAnsi="Calibri" w:cs="Calibri"/>
          <w:i/>
          <w:iCs/>
          <w:sz w:val="22"/>
          <w:szCs w:val="22"/>
        </w:rPr>
      </w:pPr>
      <w:r>
        <w:rPr>
          <w:rFonts w:hint="default" w:ascii="Calibri" w:hAnsi="Calibri" w:cs="Calibri"/>
          <w:b/>
          <w:bCs/>
          <w:i/>
          <w:iCs/>
          <w:sz w:val="22"/>
          <w:szCs w:val="22"/>
        </w:rPr>
        <w:t>Tabla 1.</w:t>
      </w:r>
      <w:r>
        <w:rPr>
          <w:rFonts w:hint="default" w:ascii="Calibri" w:hAnsi="Calibri" w:cs="Calibri"/>
          <w:i/>
          <w:iCs/>
          <w:sz w:val="22"/>
          <w:szCs w:val="22"/>
        </w:rPr>
        <w:t xml:space="preserve"> Diseño metodológico de investigación</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9"/>
        <w:gridCol w:w="7861"/>
      </w:tblGrid>
      <w:tr w14:paraId="43A6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8" w:type="dxa"/>
            <w:shd w:val="clear" w:color="auto" w:fill="000000" w:themeFill="text1"/>
            <w:vAlign w:val="center"/>
          </w:tcPr>
          <w:p w14:paraId="2ABE50E7">
            <w:pPr>
              <w:spacing w:after="0" w:line="240" w:lineRule="auto"/>
              <w:jc w:val="center"/>
              <w:rPr>
                <w:rFonts w:hint="default" w:ascii="Calibri" w:hAnsi="Calibri" w:cs="Calibri"/>
                <w:b/>
                <w:bCs/>
                <w:color w:val="FFFFFF" w:themeColor="background1"/>
                <w:sz w:val="18"/>
                <w:szCs w:val="18"/>
                <w:lang w:val="es-MX"/>
                <w14:textFill>
                  <w14:solidFill>
                    <w14:schemeClr w14:val="bg1"/>
                  </w14:solidFill>
                </w14:textFill>
              </w:rPr>
            </w:pPr>
            <w:r>
              <w:rPr>
                <w:rFonts w:hint="default" w:ascii="Calibri" w:hAnsi="Calibri" w:cs="Calibri"/>
                <w:b/>
                <w:bCs/>
                <w:color w:val="FFFFFF" w:themeColor="background1"/>
                <w:sz w:val="18"/>
                <w:szCs w:val="18"/>
                <w:lang w:val="es-MX"/>
                <w14:textFill>
                  <w14:solidFill>
                    <w14:schemeClr w14:val="bg1"/>
                  </w14:solidFill>
                </w14:textFill>
              </w:rPr>
              <w:t>Escenario metodológico</w:t>
            </w:r>
          </w:p>
        </w:tc>
        <w:tc>
          <w:tcPr>
            <w:tcW w:w="7582" w:type="dxa"/>
            <w:shd w:val="clear" w:color="auto" w:fill="000000" w:themeFill="text1"/>
            <w:vAlign w:val="center"/>
          </w:tcPr>
          <w:p w14:paraId="62326DAE">
            <w:pPr>
              <w:spacing w:after="0" w:line="240" w:lineRule="auto"/>
              <w:jc w:val="center"/>
              <w:rPr>
                <w:rFonts w:hint="default" w:ascii="Calibri" w:hAnsi="Calibri" w:cs="Calibri"/>
                <w:b/>
                <w:bCs/>
                <w:color w:val="FFFFFF" w:themeColor="background1"/>
                <w:sz w:val="18"/>
                <w:szCs w:val="18"/>
                <w:lang w:val="es-MX"/>
                <w14:textFill>
                  <w14:solidFill>
                    <w14:schemeClr w14:val="bg1"/>
                  </w14:solidFill>
                </w14:textFill>
              </w:rPr>
            </w:pPr>
            <w:r>
              <w:rPr>
                <w:rFonts w:hint="default" w:ascii="Calibri" w:hAnsi="Calibri" w:cs="Calibri"/>
                <w:b/>
                <w:bCs/>
                <w:color w:val="FFFFFF" w:themeColor="background1"/>
                <w:sz w:val="18"/>
                <w:szCs w:val="18"/>
                <w:lang w:val="es-MX"/>
                <w14:textFill>
                  <w14:solidFill>
                    <w14:schemeClr w14:val="bg1"/>
                  </w14:solidFill>
                </w14:textFill>
              </w:rPr>
              <w:t>Descripción detallada</w:t>
            </w:r>
          </w:p>
        </w:tc>
      </w:tr>
      <w:tr w14:paraId="26CF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69C16C3E">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Enfoque de investigación</w:t>
            </w:r>
          </w:p>
        </w:tc>
        <w:tc>
          <w:tcPr>
            <w:tcW w:w="0" w:type="auto"/>
            <w:vAlign w:val="center"/>
          </w:tcPr>
          <w:p w14:paraId="3C626BD4">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Cualitativo, de tipo interpretativo, orientado a la comprensión de significados de las prácticas simbólicas y vínculos afectivos en contextos históricos y contemporáneos.</w:t>
            </w:r>
          </w:p>
        </w:tc>
      </w:tr>
      <w:tr w14:paraId="69AB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7EAF2829">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Tipo de estudio</w:t>
            </w:r>
          </w:p>
        </w:tc>
        <w:tc>
          <w:tcPr>
            <w:tcW w:w="0" w:type="auto"/>
            <w:vAlign w:val="center"/>
          </w:tcPr>
          <w:p w14:paraId="20A4B471">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Estudio reflexivo–interpretativo con base en análisis histórico y autoetnografía.</w:t>
            </w:r>
          </w:p>
        </w:tc>
      </w:tr>
      <w:tr w14:paraId="1CE9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648A53A8">
            <w:pPr>
              <w:spacing w:after="0" w:line="240" w:lineRule="auto"/>
              <w:jc w:val="center"/>
              <w:rPr>
                <w:rFonts w:hint="default" w:ascii="Calibri" w:hAnsi="Calibri" w:cs="Calibri"/>
                <w:b/>
                <w:bCs/>
                <w:i w:val="0"/>
                <w:iCs w:val="0"/>
                <w:sz w:val="18"/>
                <w:szCs w:val="18"/>
                <w:lang w:val="es-MX"/>
              </w:rPr>
            </w:pPr>
            <w:r>
              <w:rPr>
                <w:rFonts w:hint="default" w:ascii="Calibri" w:hAnsi="Calibri" w:cs="Calibri"/>
                <w:b/>
                <w:bCs/>
                <w:i w:val="0"/>
                <w:iCs w:val="0"/>
                <w:sz w:val="18"/>
                <w:szCs w:val="18"/>
                <w:lang w:val="es-MX"/>
              </w:rPr>
              <w:t>Estrategia metodológica 1</w:t>
            </w:r>
          </w:p>
        </w:tc>
        <w:tc>
          <w:tcPr>
            <w:tcW w:w="0" w:type="auto"/>
            <w:vAlign w:val="center"/>
          </w:tcPr>
          <w:p w14:paraId="29B842DA">
            <w:pPr>
              <w:spacing w:after="0" w:line="240" w:lineRule="auto"/>
              <w:jc w:val="center"/>
              <w:rPr>
                <w:rFonts w:hint="default" w:ascii="Calibri" w:hAnsi="Calibri" w:cs="Calibri"/>
                <w:b/>
                <w:bCs/>
                <w:i w:val="0"/>
                <w:iCs w:val="0"/>
                <w:sz w:val="18"/>
                <w:szCs w:val="18"/>
                <w:lang w:val="es-MX"/>
              </w:rPr>
            </w:pPr>
            <w:r>
              <w:rPr>
                <w:rFonts w:hint="default" w:ascii="Calibri" w:hAnsi="Calibri" w:cs="Calibri"/>
                <w:b/>
                <w:bCs/>
                <w:i w:val="0"/>
                <w:iCs w:val="0"/>
                <w:sz w:val="18"/>
                <w:szCs w:val="18"/>
                <w:lang w:val="es-MX"/>
              </w:rPr>
              <w:t>Análisis histórico–documental</w:t>
            </w:r>
          </w:p>
        </w:tc>
      </w:tr>
      <w:tr w14:paraId="1D72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42B30559">
            <w:pPr>
              <w:spacing w:after="0" w:line="240" w:lineRule="auto"/>
              <w:jc w:val="center"/>
              <w:rPr>
                <w:rFonts w:hint="default" w:ascii="Calibri" w:hAnsi="Calibri" w:cs="Calibri"/>
                <w:i w:val="0"/>
                <w:iCs w:val="0"/>
                <w:sz w:val="18"/>
                <w:szCs w:val="18"/>
                <w:lang w:val="es-MX"/>
              </w:rPr>
            </w:pPr>
            <w:r>
              <w:rPr>
                <w:rFonts w:hint="default" w:ascii="Calibri" w:hAnsi="Calibri" w:cs="Calibri"/>
                <w:i w:val="0"/>
                <w:iCs w:val="0"/>
                <w:sz w:val="18"/>
                <w:szCs w:val="18"/>
                <w:lang w:val="es-MX"/>
              </w:rPr>
              <w:t>Descripción</w:t>
            </w:r>
          </w:p>
        </w:tc>
        <w:tc>
          <w:tcPr>
            <w:tcW w:w="0" w:type="auto"/>
            <w:vAlign w:val="center"/>
          </w:tcPr>
          <w:p w14:paraId="68E111BA">
            <w:pPr>
              <w:spacing w:after="0" w:line="240" w:lineRule="auto"/>
              <w:jc w:val="both"/>
              <w:rPr>
                <w:rFonts w:hint="default" w:ascii="Calibri" w:hAnsi="Calibri" w:cs="Calibri"/>
                <w:i w:val="0"/>
                <w:iCs w:val="0"/>
                <w:sz w:val="18"/>
                <w:szCs w:val="18"/>
                <w:lang w:val="es-MX"/>
              </w:rPr>
            </w:pPr>
            <w:r>
              <w:rPr>
                <w:rFonts w:hint="default" w:ascii="Calibri" w:hAnsi="Calibri" w:cs="Calibri"/>
                <w:i w:val="0"/>
                <w:iCs w:val="0"/>
                <w:sz w:val="18"/>
                <w:szCs w:val="18"/>
                <w:lang w:val="es-MX"/>
              </w:rPr>
              <w:t>Revisión de literatura especializada sobre la rebelión de Túpac Amaru II y el rol de Micaela Bastidas, con énfasis en dimensiones familiares, afectivas y simbólicas del proceso histórico.</w:t>
            </w:r>
          </w:p>
        </w:tc>
      </w:tr>
      <w:tr w14:paraId="524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2AB61D10">
            <w:pPr>
              <w:spacing w:after="0" w:line="240" w:lineRule="auto"/>
              <w:jc w:val="center"/>
              <w:rPr>
                <w:rFonts w:hint="default" w:ascii="Calibri" w:hAnsi="Calibri" w:cs="Calibri"/>
                <w:i w:val="0"/>
                <w:iCs w:val="0"/>
                <w:sz w:val="18"/>
                <w:szCs w:val="18"/>
                <w:lang w:val="es-MX"/>
              </w:rPr>
            </w:pPr>
            <w:r>
              <w:rPr>
                <w:rFonts w:hint="default" w:ascii="Calibri" w:hAnsi="Calibri" w:cs="Calibri"/>
                <w:i w:val="0"/>
                <w:iCs w:val="0"/>
                <w:sz w:val="18"/>
                <w:szCs w:val="18"/>
                <w:lang w:val="es-MX"/>
              </w:rPr>
              <w:t>Criterios de selección</w:t>
            </w:r>
          </w:p>
        </w:tc>
        <w:tc>
          <w:tcPr>
            <w:tcW w:w="0" w:type="auto"/>
            <w:vAlign w:val="center"/>
          </w:tcPr>
          <w:p w14:paraId="2785C7AE">
            <w:pPr>
              <w:spacing w:after="0" w:line="240" w:lineRule="auto"/>
              <w:jc w:val="both"/>
              <w:rPr>
                <w:rFonts w:hint="default" w:ascii="Calibri" w:hAnsi="Calibri" w:cs="Calibri"/>
                <w:i w:val="0"/>
                <w:iCs w:val="0"/>
                <w:sz w:val="18"/>
                <w:szCs w:val="18"/>
                <w:lang w:val="es-MX"/>
              </w:rPr>
            </w:pPr>
            <w:r>
              <w:rPr>
                <w:rFonts w:hint="default" w:ascii="Calibri" w:hAnsi="Calibri" w:cs="Calibri"/>
                <w:i w:val="0"/>
                <w:iCs w:val="0"/>
                <w:sz w:val="18"/>
                <w:szCs w:val="18"/>
                <w:lang w:val="es-MX"/>
              </w:rPr>
              <w:t>Relevancia temática, rigor académico, reconocimiento en la historiografía y antropología.</w:t>
            </w:r>
          </w:p>
        </w:tc>
      </w:tr>
      <w:tr w14:paraId="727D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0108026C">
            <w:pPr>
              <w:spacing w:after="0" w:line="240" w:lineRule="auto"/>
              <w:jc w:val="center"/>
              <w:rPr>
                <w:rFonts w:hint="default" w:ascii="Calibri" w:hAnsi="Calibri" w:cs="Calibri"/>
                <w:b/>
                <w:bCs/>
                <w:i w:val="0"/>
                <w:iCs w:val="0"/>
                <w:sz w:val="18"/>
                <w:szCs w:val="18"/>
                <w:lang w:val="es-MX"/>
              </w:rPr>
            </w:pPr>
            <w:r>
              <w:rPr>
                <w:rFonts w:hint="default" w:ascii="Calibri" w:hAnsi="Calibri" w:cs="Calibri"/>
                <w:b/>
                <w:bCs/>
                <w:i w:val="0"/>
                <w:iCs w:val="0"/>
                <w:sz w:val="18"/>
                <w:szCs w:val="18"/>
                <w:lang w:val="es-MX"/>
              </w:rPr>
              <w:t>Estrategia metodológica 2</w:t>
            </w:r>
          </w:p>
        </w:tc>
        <w:tc>
          <w:tcPr>
            <w:tcW w:w="0" w:type="auto"/>
            <w:vAlign w:val="center"/>
          </w:tcPr>
          <w:p w14:paraId="2B518C3A">
            <w:pPr>
              <w:spacing w:after="0" w:line="240" w:lineRule="auto"/>
              <w:jc w:val="center"/>
              <w:rPr>
                <w:rFonts w:hint="default" w:ascii="Calibri" w:hAnsi="Calibri" w:cs="Calibri"/>
                <w:b/>
                <w:bCs/>
                <w:i w:val="0"/>
                <w:iCs w:val="0"/>
                <w:sz w:val="18"/>
                <w:szCs w:val="18"/>
                <w:lang w:val="es-MX"/>
              </w:rPr>
            </w:pPr>
            <w:r>
              <w:rPr>
                <w:rFonts w:hint="default" w:ascii="Calibri" w:hAnsi="Calibri" w:cs="Calibri"/>
                <w:b/>
                <w:bCs/>
                <w:i w:val="0"/>
                <w:iCs w:val="0"/>
                <w:sz w:val="18"/>
                <w:szCs w:val="18"/>
                <w:lang w:val="es-MX"/>
              </w:rPr>
              <w:t>Autoetnografía reflexiva</w:t>
            </w:r>
          </w:p>
        </w:tc>
      </w:tr>
      <w:tr w14:paraId="42C6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4EE20154">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Descripción</w:t>
            </w:r>
          </w:p>
        </w:tc>
        <w:tc>
          <w:tcPr>
            <w:tcW w:w="0" w:type="auto"/>
            <w:vAlign w:val="center"/>
          </w:tcPr>
          <w:p w14:paraId="4F59CACE">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Análisis de una experiencia personal contemporánea vinculada a una crisis de salud familiar, utilizada como recurso analítico para explorar la dimensión afectiva de la resistencia y la lucha por la vida.</w:t>
            </w:r>
          </w:p>
        </w:tc>
      </w:tr>
      <w:tr w14:paraId="09C7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487DE80A">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Rol del investigador</w:t>
            </w:r>
          </w:p>
        </w:tc>
        <w:tc>
          <w:tcPr>
            <w:tcW w:w="0" w:type="auto"/>
            <w:vAlign w:val="center"/>
          </w:tcPr>
          <w:p w14:paraId="213BAF7C">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Investigador participante y sujeto reflexivo, que articula vivencia personal con categorías analíticas antropológicas.</w:t>
            </w:r>
          </w:p>
        </w:tc>
      </w:tr>
      <w:tr w14:paraId="5B18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5793036E">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Procedimiento analítico</w:t>
            </w:r>
          </w:p>
        </w:tc>
        <w:tc>
          <w:tcPr>
            <w:tcW w:w="0" w:type="auto"/>
            <w:vAlign w:val="center"/>
          </w:tcPr>
          <w:p w14:paraId="3DF780E2">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Reflexión crítica, interpretación narrativa y comparación simbólica entre experiencia personal y procesos históricos.</w:t>
            </w:r>
          </w:p>
        </w:tc>
      </w:tr>
      <w:tr w14:paraId="6C9C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48162D87">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Técnica de análisis</w:t>
            </w:r>
          </w:p>
        </w:tc>
        <w:tc>
          <w:tcPr>
            <w:tcW w:w="0" w:type="auto"/>
            <w:vAlign w:val="center"/>
          </w:tcPr>
          <w:p w14:paraId="15DD79F3">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Análisis interpretativo y hermenéutico de textos históricos y narrativas autoetnográficas.</w:t>
            </w:r>
          </w:p>
        </w:tc>
      </w:tr>
      <w:tr w14:paraId="19BE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3AB645B7">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Unidad de análisis</w:t>
            </w:r>
          </w:p>
        </w:tc>
        <w:tc>
          <w:tcPr>
            <w:tcW w:w="0" w:type="auto"/>
            <w:vAlign w:val="center"/>
          </w:tcPr>
          <w:p w14:paraId="7D9D61CE">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La familia como espacio de resistencia simbólica y afectiva.</w:t>
            </w:r>
          </w:p>
        </w:tc>
      </w:tr>
      <w:tr w14:paraId="3BAD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2E858F1A">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Alcance del análisis</w:t>
            </w:r>
          </w:p>
        </w:tc>
        <w:tc>
          <w:tcPr>
            <w:tcW w:w="0" w:type="auto"/>
            <w:vAlign w:val="center"/>
          </w:tcPr>
          <w:p w14:paraId="54CF9C54">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Comprender resonancias simbólicas entre pasado y presente, sin establecer equivalencias directas entre contextos históricos disímiles.</w:t>
            </w:r>
          </w:p>
        </w:tc>
      </w:tr>
      <w:tr w14:paraId="1E29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7E673B39">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Rigor metodológico</w:t>
            </w:r>
          </w:p>
        </w:tc>
        <w:tc>
          <w:tcPr>
            <w:tcW w:w="0" w:type="auto"/>
            <w:vAlign w:val="center"/>
          </w:tcPr>
          <w:p w14:paraId="5957F39D">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Coherencia teórica, reflexividad del investigador, triangulación conceptual entre historia, antropología y experiencia vivida.</w:t>
            </w:r>
          </w:p>
        </w:tc>
      </w:tr>
      <w:tr w14:paraId="56D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4227EADF">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Limitaciones del estudio</w:t>
            </w:r>
          </w:p>
        </w:tc>
        <w:tc>
          <w:tcPr>
            <w:tcW w:w="0" w:type="auto"/>
            <w:vAlign w:val="center"/>
          </w:tcPr>
          <w:p w14:paraId="106A3E03">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No busca generalización estadística; el análisis es interpretativo y contextual.</w:t>
            </w:r>
          </w:p>
        </w:tc>
      </w:tr>
      <w:tr w14:paraId="73B6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auto" w:sz="4" w:space="0"/>
            </w:tcBorders>
            <w:vAlign w:val="center"/>
          </w:tcPr>
          <w:p w14:paraId="79C650F0">
            <w:pPr>
              <w:spacing w:after="0" w:line="240" w:lineRule="auto"/>
              <w:jc w:val="center"/>
              <w:rPr>
                <w:rFonts w:hint="default" w:ascii="Calibri" w:hAnsi="Calibri" w:cs="Calibri"/>
                <w:sz w:val="18"/>
                <w:szCs w:val="18"/>
                <w:lang w:val="es-MX"/>
              </w:rPr>
            </w:pPr>
            <w:r>
              <w:rPr>
                <w:rFonts w:hint="default" w:ascii="Calibri" w:hAnsi="Calibri" w:cs="Calibri"/>
                <w:sz w:val="18"/>
                <w:szCs w:val="18"/>
                <w:lang w:val="es-MX"/>
              </w:rPr>
              <w:t>Consideraciones éticas</w:t>
            </w:r>
          </w:p>
        </w:tc>
        <w:tc>
          <w:tcPr>
            <w:tcW w:w="0" w:type="auto"/>
            <w:tcBorders>
              <w:bottom w:val="single" w:color="auto" w:sz="4" w:space="0"/>
            </w:tcBorders>
            <w:vAlign w:val="center"/>
          </w:tcPr>
          <w:p w14:paraId="481BF5EE">
            <w:pPr>
              <w:spacing w:after="0" w:line="240" w:lineRule="auto"/>
              <w:jc w:val="both"/>
              <w:rPr>
                <w:rFonts w:hint="default" w:ascii="Calibri" w:hAnsi="Calibri" w:cs="Calibri"/>
                <w:sz w:val="18"/>
                <w:szCs w:val="18"/>
                <w:lang w:val="es-MX"/>
              </w:rPr>
            </w:pPr>
            <w:r>
              <w:rPr>
                <w:rFonts w:hint="default" w:ascii="Calibri" w:hAnsi="Calibri" w:cs="Calibri"/>
                <w:sz w:val="18"/>
                <w:szCs w:val="18"/>
                <w:lang w:val="es-MX"/>
              </w:rPr>
              <w:t>Uso responsable de la experiencia personal, resguardo de la intimidad familiar y posicionamiento reflexivo del investigador.</w:t>
            </w:r>
          </w:p>
        </w:tc>
      </w:tr>
    </w:tbl>
    <w:p w14:paraId="41A7A7A3">
      <w:pPr>
        <w:spacing w:after="0" w:line="240" w:lineRule="auto"/>
        <w:jc w:val="both"/>
        <w:rPr>
          <w:rFonts w:hint="default" w:ascii="Calibri" w:hAnsi="Calibri" w:cs="Calibri"/>
          <w:sz w:val="22"/>
          <w:szCs w:val="22"/>
        </w:rPr>
      </w:pPr>
    </w:p>
    <w:p w14:paraId="69B7747D">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hint="default" w:ascii="Calibri" w:hAnsi="Calibri" w:cs="Calibri"/>
          <w:sz w:val="22"/>
          <w:szCs w:val="22"/>
        </w:rPr>
      </w:pPr>
      <w:r>
        <w:rPr>
          <w:rFonts w:hint="default" w:ascii="Calibri" w:hAnsi="Calibri" w:cs="Calibri"/>
          <w:sz w:val="22"/>
          <w:szCs w:val="22"/>
        </w:rPr>
        <w:t>En este sentido, en la Tabla 1, se observa que, este enfoque permite establecer puentes interpretativos entre procesos históricos y experiencias contemporáneas, sin pretender equipararlos, sino comprender sus resonancias simbólicas.</w:t>
      </w:r>
    </w:p>
    <w:p w14:paraId="7592340E">
      <w:pPr>
        <w:pStyle w:val="3"/>
        <w:rPr>
          <w:rFonts w:cstheme="minorHAnsi"/>
          <w:b w:val="0"/>
          <w:bCs w:val="0"/>
          <w:szCs w:val="24"/>
        </w:rPr>
      </w:pPr>
      <w:r>
        <w:rPr>
          <w:rFonts w:cstheme="minorHAnsi"/>
          <w:szCs w:val="24"/>
        </w:rPr>
        <w:t xml:space="preserve">Resultados </w:t>
      </w:r>
    </w:p>
    <w:p w14:paraId="1D480A59">
      <w:pPr>
        <w:pStyle w:val="19"/>
        <w:spacing w:before="120" w:beforeAutospacing="0" w:after="0" w:afterAutospacing="0"/>
        <w:ind w:firstLine="720"/>
        <w:jc w:val="both"/>
        <w:rPr>
          <w:rFonts w:hint="default" w:asciiTheme="minorHAnsi" w:hAnsiTheme="minorHAnsi" w:cstheme="minorHAnsi"/>
          <w:sz w:val="22"/>
          <w:szCs w:val="22"/>
        </w:rPr>
      </w:pPr>
      <w:r>
        <w:rPr>
          <w:rFonts w:asciiTheme="minorHAnsi" w:hAnsiTheme="minorHAnsi" w:cstheme="minorHAnsi"/>
          <w:sz w:val="22"/>
          <w:szCs w:val="22"/>
        </w:rPr>
        <w:t xml:space="preserve"> </w:t>
      </w:r>
      <w:r>
        <w:rPr>
          <w:rFonts w:hint="default" w:asciiTheme="minorHAnsi" w:hAnsiTheme="minorHAnsi" w:cstheme="minorHAnsi"/>
          <w:sz w:val="22"/>
          <w:szCs w:val="22"/>
        </w:rPr>
        <w:t>Los hallazgos derivados del análisis histórico-documental y la autoetnografía reflexiva permiten caracterizar a la familia como un núcleo de resistencia con capacidad de articulación tanto en contextos de represión política como de crisis vitales. A continuación, se detallan los resultados organizados por las dimensiones del estudio.</w:t>
      </w:r>
    </w:p>
    <w:p w14:paraId="3B2522FB">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b/>
          <w:bCs/>
          <w:sz w:val="22"/>
          <w:szCs w:val="22"/>
        </w:rPr>
      </w:pPr>
      <w:r>
        <w:rPr>
          <w:rFonts w:hint="default" w:ascii="Calibri" w:hAnsi="Calibri" w:cs="Calibri"/>
          <w:b/>
          <w:bCs/>
          <w:sz w:val="22"/>
          <w:szCs w:val="22"/>
        </w:rPr>
        <w:t>La familia Condorcanqui–Bastidas: Resistencia y articulación política</w:t>
      </w:r>
    </w:p>
    <w:p w14:paraId="492F3029">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Los registros históricos analizados confirman que la rebelión de Túpac Amaru II no puede reducirse a una iniciativa individual ni a una coyuntura aislada. Por el contrario, la familia Condorcanqui–Bastidas operó como un nodo estratégico donde los vínculos afectivos, la confianza mutua y el compromiso compartido con la causa indígena constituyeron el soporte fundamental de la acción colectiva. Bajo esta óptica, la familia se configura como un sistema de toma de decisiones y apoyo moral, cuya resiliencia permitió sostener el proyecto insurgente frente a una presión externa constante.</w:t>
      </w:r>
    </w:p>
    <w:p w14:paraId="6CA4E729">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pPr>
      <w:r>
        <w:rPr>
          <w:rFonts w:hint="default" w:ascii="Calibri" w:hAnsi="Calibri" w:cs="Calibri"/>
          <w:sz w:val="22"/>
          <w:szCs w:val="22"/>
        </w:rPr>
        <w:t>Como se detalla en la Tabla 2, el rol de Micaela Bastidas fue determinante; su capacidad organizativa y su participación directa en decisiones militares desafían las lecturas historiográficas tradicionales que, durante mucho tiempo, le asignaron un papel secundario o meramente acompañante (Kanashiro, 2021). La estructura familiar, por su parte, funcionó como un objetivo táctico y político para el aparato colonial. La persecución, el exilio y la ejecución pública de los miembros del núcleo familiar</w:t>
      </w:r>
      <w:r>
        <w:rPr>
          <w:rFonts w:hint="default" w:ascii="Calibri" w:hAnsi="Calibri" w:cs="Calibri"/>
          <w:sz w:val="22"/>
          <w:szCs w:val="22"/>
          <w:lang w:val="es-ES"/>
        </w:rPr>
        <w:t xml:space="preserve"> </w:t>
      </w:r>
      <w:r>
        <w:rPr>
          <w:rFonts w:hint="default" w:ascii="Calibri" w:hAnsi="Calibri" w:cs="Calibri"/>
          <w:sz w:val="22"/>
          <w:szCs w:val="22"/>
        </w:rPr>
        <w:t>Túpac Amaru II, Micaela Bastidas e Hipólito Condorcanqui</w:t>
      </w:r>
      <w:r>
        <w:rPr>
          <w:rFonts w:hint="default" w:ascii="Calibri" w:hAnsi="Calibri" w:cs="Calibri"/>
          <w:sz w:val="22"/>
          <w:szCs w:val="22"/>
          <w:lang w:val="es-ES"/>
        </w:rPr>
        <w:t>,</w:t>
      </w:r>
      <w:r>
        <w:rPr>
          <w:rFonts w:hint="default" w:ascii="Calibri" w:hAnsi="Calibri" w:cs="Calibri"/>
          <w:sz w:val="22"/>
          <w:szCs w:val="22"/>
        </w:rPr>
        <w:t xml:space="preserve"> no fueron actos aleatorios, sino mecanismos deliberados de disciplinamiento (Cahill, 1999). El poder colonial comprendió, con una lucidez estratégica implacable, que la desarticulación del vínculo familiar era el paso indispensable para anular el potencial subversivo del movimiento; al destruir el núcleo, buscaban fragmentar la identidad colectiva y la fuerza simbólica que la familia proyectaba sobre la población indígena.</w:t>
      </w:r>
    </w:p>
    <w:p w14:paraId="303D9541">
      <w:pPr>
        <w:pStyle w:val="19"/>
        <w:spacing w:before="120" w:beforeAutospacing="0" w:after="0" w:afterAutospacing="0"/>
        <w:ind w:firstLine="720"/>
        <w:jc w:val="both"/>
        <w:rPr>
          <w:rFonts w:hint="default" w:asciiTheme="minorHAnsi" w:hAnsiTheme="minorHAnsi" w:cstheme="minorHAnsi"/>
          <w:sz w:val="22"/>
          <w:szCs w:val="22"/>
        </w:rPr>
      </w:pPr>
    </w:p>
    <w:p w14:paraId="073A4D2E">
      <w:pPr>
        <w:spacing w:after="0" w:line="240" w:lineRule="auto"/>
        <w:jc w:val="both"/>
        <w:rPr>
          <w:rFonts w:hint="default" w:ascii="Calibri" w:hAnsi="Calibri" w:cs="Calibri"/>
          <w:b/>
          <w:bCs/>
          <w:i/>
          <w:iCs/>
          <w:sz w:val="22"/>
          <w:szCs w:val="22"/>
          <w:lang w:val="es-MX"/>
        </w:rPr>
      </w:pPr>
      <w:r>
        <w:rPr>
          <w:rFonts w:hint="default" w:ascii="Calibri" w:hAnsi="Calibri" w:cs="Calibri"/>
          <w:b/>
          <w:bCs/>
          <w:i/>
          <w:iCs/>
          <w:sz w:val="22"/>
          <w:szCs w:val="22"/>
          <w:lang w:val="es-MX"/>
        </w:rPr>
        <w:t xml:space="preserve">Tabla 2. </w:t>
      </w:r>
      <w:r>
        <w:rPr>
          <w:rFonts w:hint="default" w:ascii="Calibri" w:hAnsi="Calibri" w:cs="Calibri"/>
          <w:i/>
          <w:iCs/>
          <w:sz w:val="22"/>
          <w:szCs w:val="22"/>
          <w:lang w:val="es-MX"/>
        </w:rPr>
        <w:t>Roles familiares y formas de resistencia</w:t>
      </w:r>
    </w:p>
    <w:p w14:paraId="4A7FD06A">
      <w:pPr>
        <w:spacing w:after="0" w:line="240" w:lineRule="auto"/>
        <w:jc w:val="both"/>
        <w:rPr>
          <w:rFonts w:hint="default" w:ascii="Calibri" w:hAnsi="Calibri" w:cs="Calibri"/>
          <w:b/>
          <w:bCs/>
          <w:i/>
          <w:iCs/>
          <w:sz w:val="22"/>
          <w:szCs w:val="22"/>
          <w:lang w:val="es-MX"/>
        </w:rPr>
      </w:pPr>
    </w:p>
    <w:tbl>
      <w:tblPr>
        <w:tblStyle w:val="2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5"/>
        <w:gridCol w:w="1827"/>
        <w:gridCol w:w="4269"/>
        <w:gridCol w:w="1670"/>
      </w:tblGrid>
      <w:tr w14:paraId="2347706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000000" w:themeFill="text1"/>
            <w:vAlign w:val="center"/>
          </w:tcPr>
          <w:p w14:paraId="62AF989A">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Miembro de la familia</w:t>
            </w:r>
          </w:p>
        </w:tc>
        <w:tc>
          <w:tcPr>
            <w:tcW w:w="0" w:type="auto"/>
            <w:shd w:val="clear" w:color="auto" w:fill="000000" w:themeFill="text1"/>
            <w:vAlign w:val="center"/>
          </w:tcPr>
          <w:p w14:paraId="057E434F">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Rol desempeñado</w:t>
            </w:r>
          </w:p>
        </w:tc>
        <w:tc>
          <w:tcPr>
            <w:tcW w:w="4269" w:type="dxa"/>
            <w:shd w:val="clear" w:color="auto" w:fill="000000" w:themeFill="text1"/>
            <w:vAlign w:val="center"/>
          </w:tcPr>
          <w:p w14:paraId="57E8EEBC">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Forma de resistencia</w:t>
            </w:r>
          </w:p>
        </w:tc>
        <w:tc>
          <w:tcPr>
            <w:tcW w:w="1670" w:type="dxa"/>
            <w:shd w:val="clear" w:color="auto" w:fill="000000" w:themeFill="text1"/>
            <w:vAlign w:val="center"/>
          </w:tcPr>
          <w:p w14:paraId="1E1B959D">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Consecuencias</w:t>
            </w:r>
          </w:p>
        </w:tc>
      </w:tr>
      <w:tr w14:paraId="4B1CCC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06B07E2F">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Túpac Amaru II</w:t>
            </w:r>
          </w:p>
        </w:tc>
        <w:tc>
          <w:tcPr>
            <w:tcW w:w="0" w:type="auto"/>
            <w:vAlign w:val="center"/>
          </w:tcPr>
          <w:p w14:paraId="3BE5853A">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Líder político y simbólico</w:t>
            </w:r>
          </w:p>
        </w:tc>
        <w:tc>
          <w:tcPr>
            <w:tcW w:w="4269" w:type="dxa"/>
            <w:vAlign w:val="center"/>
          </w:tcPr>
          <w:p w14:paraId="6F34C5BA">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Dirección del levantamiento y articulación del proyecto insurgente</w:t>
            </w:r>
          </w:p>
        </w:tc>
        <w:tc>
          <w:tcPr>
            <w:tcW w:w="1670" w:type="dxa"/>
            <w:vAlign w:val="center"/>
          </w:tcPr>
          <w:p w14:paraId="56927199">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Ejecución pública</w:t>
            </w:r>
          </w:p>
        </w:tc>
      </w:tr>
      <w:tr w14:paraId="554FB3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2AD792E0">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Micaela Bastidas</w:t>
            </w:r>
          </w:p>
        </w:tc>
        <w:tc>
          <w:tcPr>
            <w:tcW w:w="0" w:type="auto"/>
            <w:vAlign w:val="center"/>
          </w:tcPr>
          <w:p w14:paraId="2B2A657B">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Estratega y organizadora</w:t>
            </w:r>
          </w:p>
        </w:tc>
        <w:tc>
          <w:tcPr>
            <w:tcW w:w="4269" w:type="dxa"/>
            <w:vAlign w:val="center"/>
          </w:tcPr>
          <w:p w14:paraId="1483EBD0">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Liderazgo político-militar y cohesión familiar</w:t>
            </w:r>
          </w:p>
        </w:tc>
        <w:tc>
          <w:tcPr>
            <w:tcW w:w="1670" w:type="dxa"/>
            <w:vAlign w:val="center"/>
          </w:tcPr>
          <w:p w14:paraId="23FA5305">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Ejecución pública</w:t>
            </w:r>
          </w:p>
        </w:tc>
      </w:tr>
      <w:tr w14:paraId="538F62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6D96761C">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Hipólito Condorcanqui</w:t>
            </w:r>
          </w:p>
        </w:tc>
        <w:tc>
          <w:tcPr>
            <w:tcW w:w="0" w:type="auto"/>
            <w:vAlign w:val="center"/>
          </w:tcPr>
          <w:p w14:paraId="403DFA92">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Apoyo operativo</w:t>
            </w:r>
          </w:p>
        </w:tc>
        <w:tc>
          <w:tcPr>
            <w:tcW w:w="4269" w:type="dxa"/>
            <w:vAlign w:val="center"/>
          </w:tcPr>
          <w:p w14:paraId="24C28A2F">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Participación activa en la rebelión</w:t>
            </w:r>
          </w:p>
        </w:tc>
        <w:tc>
          <w:tcPr>
            <w:tcW w:w="1670" w:type="dxa"/>
            <w:vAlign w:val="center"/>
          </w:tcPr>
          <w:p w14:paraId="563BEA11">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Ejecución</w:t>
            </w:r>
          </w:p>
        </w:tc>
      </w:tr>
      <w:tr w14:paraId="52AAD9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center"/>
          </w:tcPr>
          <w:p w14:paraId="3EC17CB2">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Mariano y Fernando</w:t>
            </w:r>
          </w:p>
        </w:tc>
        <w:tc>
          <w:tcPr>
            <w:tcW w:w="0" w:type="auto"/>
            <w:vAlign w:val="center"/>
          </w:tcPr>
          <w:p w14:paraId="1FD9901C">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Herederos simbólicos</w:t>
            </w:r>
          </w:p>
        </w:tc>
        <w:tc>
          <w:tcPr>
            <w:tcW w:w="4269" w:type="dxa"/>
            <w:vAlign w:val="center"/>
          </w:tcPr>
          <w:p w14:paraId="787A34AC">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Continuidad familiar del proyecto</w:t>
            </w:r>
          </w:p>
        </w:tc>
        <w:tc>
          <w:tcPr>
            <w:tcW w:w="1670" w:type="dxa"/>
            <w:vAlign w:val="center"/>
          </w:tcPr>
          <w:p w14:paraId="034394A9">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Exilio y maltrato</w:t>
            </w:r>
          </w:p>
        </w:tc>
      </w:tr>
    </w:tbl>
    <w:p w14:paraId="42897582">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0" w:afterAutospacing="0" w:line="240" w:lineRule="auto"/>
        <w:ind w:firstLine="720"/>
        <w:jc w:val="both"/>
        <w:textAlignment w:val="auto"/>
        <w:rPr>
          <w:rFonts w:hint="default" w:ascii="Calibri" w:hAnsi="Calibri" w:cs="Calibri"/>
          <w:b/>
          <w:bCs/>
          <w:sz w:val="22"/>
          <w:szCs w:val="22"/>
        </w:rPr>
      </w:pPr>
      <w:r>
        <w:rPr>
          <w:rFonts w:hint="default" w:ascii="Calibri" w:hAnsi="Calibri" w:cs="Calibri"/>
          <w:b/>
          <w:bCs/>
          <w:sz w:val="22"/>
          <w:szCs w:val="22"/>
        </w:rPr>
        <w:t>La experiencia contemporánea: enfermedad, tiempo y familia</w:t>
      </w:r>
    </w:p>
    <w:p w14:paraId="33E18281">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240" w:lineRule="auto"/>
        <w:ind w:firstLine="720"/>
        <w:jc w:val="both"/>
        <w:textAlignment w:val="auto"/>
        <w:rPr>
          <w:rFonts w:hint="default" w:ascii="Calibri" w:hAnsi="Calibri" w:cs="Calibri"/>
          <w:b w:val="0"/>
          <w:bCs w:val="0"/>
          <w:sz w:val="22"/>
          <w:szCs w:val="22"/>
        </w:rPr>
      </w:pPr>
      <w:r>
        <w:rPr>
          <w:rFonts w:hint="default" w:ascii="Calibri" w:hAnsi="Calibri" w:cs="Calibri"/>
          <w:b w:val="0"/>
          <w:bCs w:val="0"/>
          <w:sz w:val="22"/>
          <w:szCs w:val="22"/>
        </w:rPr>
        <w:t>La experiencia contemporánea de una crisis de salud grave en el ámbito familiar permite identificar patrones de resistencia afectiva que, aunque situados en un contexto histórico distinto, presentan resonancias simbólicas con la experiencia de la familia Condorcanqui–Bastidas. La enfermedad de un padre, enfrentada desde la incertidumbre, el temor y la fragilidad de la vida, activó dinámicas intensas de solidaridad, acompañamiento emocional y reconfiguración de prioridades vitales.</w:t>
      </w:r>
    </w:p>
    <w:p w14:paraId="2DA92A22">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240" w:lineRule="auto"/>
        <w:ind w:firstLine="720"/>
        <w:jc w:val="both"/>
        <w:textAlignment w:val="auto"/>
        <w:rPr>
          <w:rFonts w:hint="default" w:ascii="Calibri" w:hAnsi="Calibri" w:eastAsia="sans-serif" w:cs="Calibri"/>
          <w:sz w:val="22"/>
          <w:szCs w:val="22"/>
          <w:lang w:val="es-ES"/>
        </w:rPr>
      </w:pPr>
      <w:r>
        <w:rPr>
          <w:rFonts w:hint="default" w:ascii="Calibri" w:hAnsi="Calibri" w:cs="Calibri"/>
          <w:b w:val="0"/>
          <w:bCs w:val="0"/>
          <w:sz w:val="22"/>
          <w:szCs w:val="22"/>
          <w:lang w:val="es-ES"/>
        </w:rPr>
        <w:t>E</w:t>
      </w:r>
      <w:r>
        <w:rPr>
          <w:rFonts w:hint="default" w:ascii="Calibri" w:hAnsi="Calibri" w:eastAsia="sans-serif" w:cs="Calibri"/>
          <w:sz w:val="22"/>
          <w:szCs w:val="22"/>
        </w:rPr>
        <w:t xml:space="preserve">ste fenómeno encuentra sustento en lo que Fargas Peñarrocha (2021) denomina la </w:t>
      </w:r>
      <w:r>
        <w:rPr>
          <w:rFonts w:hint="default" w:ascii="Calibri" w:hAnsi="Calibri" w:eastAsia="sans-serif" w:cs="Calibri"/>
          <w:b w:val="0"/>
          <w:bCs w:val="0"/>
          <w:sz w:val="22"/>
          <w:szCs w:val="22"/>
        </w:rPr>
        <w:t>antropología de lo íntimo</w:t>
      </w:r>
      <w:r>
        <w:rPr>
          <w:rFonts w:hint="default" w:ascii="Calibri" w:hAnsi="Calibri" w:eastAsia="sans-serif" w:cs="Calibri"/>
          <w:sz w:val="22"/>
          <w:szCs w:val="22"/>
        </w:rPr>
        <w:t>, donde la familia deja de ser una estructura estática para convertirse en un espacio de producción de sentidos frente al riesgo. Como se detalla en la Tabla 3, esta vivencia implica una reconfiguración de dimensiones vitales que trascienden lo clínico</w:t>
      </w:r>
      <w:r>
        <w:rPr>
          <w:rFonts w:hint="default" w:ascii="Calibri" w:hAnsi="Calibri" w:eastAsia="sans-serif" w:cs="Calibri"/>
          <w:sz w:val="22"/>
          <w:szCs w:val="22"/>
          <w:lang w:val="es-ES"/>
        </w:rPr>
        <w:t>.</w:t>
      </w:r>
    </w:p>
    <w:p w14:paraId="2A2B2898">
      <w:pPr>
        <w:keepNext w:val="0"/>
        <w:keepLines w:val="0"/>
        <w:pageBreakBefore w:val="0"/>
        <w:widowControl/>
        <w:kinsoku/>
        <w:wordWrap/>
        <w:overflowPunct/>
        <w:topLinePunct w:val="0"/>
        <w:autoSpaceDE/>
        <w:autoSpaceDN/>
        <w:bidi w:val="0"/>
        <w:adjustRightInd/>
        <w:snapToGrid/>
        <w:spacing w:before="240" w:after="120" w:line="240" w:lineRule="auto"/>
        <w:jc w:val="both"/>
        <w:textAlignment w:val="auto"/>
        <w:rPr>
          <w:rFonts w:hint="default" w:ascii="Calibri" w:hAnsi="Calibri" w:cs="Calibri"/>
          <w:b/>
          <w:bCs/>
          <w:sz w:val="22"/>
          <w:szCs w:val="22"/>
          <w:lang w:val="es-MX"/>
        </w:rPr>
      </w:pPr>
      <w:r>
        <w:rPr>
          <w:rFonts w:hint="default" w:ascii="Calibri" w:hAnsi="Calibri" w:cs="Calibri"/>
          <w:b/>
          <w:bCs/>
          <w:sz w:val="22"/>
          <w:szCs w:val="22"/>
          <w:lang w:val="es-MX"/>
        </w:rPr>
        <w:t xml:space="preserve">Tabla 3. </w:t>
      </w:r>
      <w:r>
        <w:rPr>
          <w:rFonts w:hint="default" w:ascii="Calibri" w:hAnsi="Calibri" w:cs="Calibri"/>
          <w:sz w:val="22"/>
          <w:szCs w:val="22"/>
          <w:lang w:val="es-MX"/>
        </w:rPr>
        <w:t>La resistencia afectiva en la experiencia contemporánea</w:t>
      </w:r>
    </w:p>
    <w:tbl>
      <w:tblPr>
        <w:tblStyle w:val="24"/>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5"/>
        <w:gridCol w:w="2039"/>
        <w:gridCol w:w="2152"/>
      </w:tblGrid>
      <w:tr w14:paraId="415C75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shd w:val="clear" w:color="auto" w:fill="000000" w:themeFill="text1"/>
            <w:vAlign w:val="center"/>
          </w:tcPr>
          <w:p w14:paraId="40F2F378">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Dimensión</w:t>
            </w:r>
          </w:p>
        </w:tc>
        <w:tc>
          <w:tcPr>
            <w:tcW w:w="0" w:type="auto"/>
            <w:shd w:val="clear" w:color="auto" w:fill="000000" w:themeFill="text1"/>
            <w:vAlign w:val="center"/>
          </w:tcPr>
          <w:p w14:paraId="73D69E6D">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Manifestación</w:t>
            </w:r>
          </w:p>
        </w:tc>
        <w:tc>
          <w:tcPr>
            <w:tcW w:w="0" w:type="auto"/>
            <w:shd w:val="clear" w:color="auto" w:fill="000000" w:themeFill="text1"/>
            <w:vAlign w:val="center"/>
          </w:tcPr>
          <w:p w14:paraId="55D822DF">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Significado antropológico</w:t>
            </w:r>
          </w:p>
        </w:tc>
      </w:tr>
      <w:tr w14:paraId="4770AC0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0DB6ECC1">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Enfermedad</w:t>
            </w:r>
          </w:p>
        </w:tc>
        <w:tc>
          <w:tcPr>
            <w:tcW w:w="0" w:type="auto"/>
            <w:vAlign w:val="center"/>
          </w:tcPr>
          <w:p w14:paraId="68C1AF66">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Crisis de salud grave</w:t>
            </w:r>
          </w:p>
        </w:tc>
        <w:tc>
          <w:tcPr>
            <w:tcW w:w="0" w:type="auto"/>
            <w:vAlign w:val="center"/>
          </w:tcPr>
          <w:p w14:paraId="140C4E68">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Fragilidad de la vida</w:t>
            </w:r>
          </w:p>
        </w:tc>
      </w:tr>
      <w:tr w14:paraId="4319C4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53350ED6">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Tiempo</w:t>
            </w:r>
          </w:p>
        </w:tc>
        <w:tc>
          <w:tcPr>
            <w:tcW w:w="0" w:type="auto"/>
            <w:vAlign w:val="center"/>
          </w:tcPr>
          <w:p w14:paraId="10115834">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Espera e incertidumbre</w:t>
            </w:r>
          </w:p>
        </w:tc>
        <w:tc>
          <w:tcPr>
            <w:tcW w:w="0" w:type="auto"/>
            <w:vAlign w:val="center"/>
          </w:tcPr>
          <w:p w14:paraId="7D6FD34D">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Revalorización del presente</w:t>
            </w:r>
          </w:p>
        </w:tc>
      </w:tr>
      <w:tr w14:paraId="6F833A4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68E558BF">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Familia</w:t>
            </w:r>
          </w:p>
        </w:tc>
        <w:tc>
          <w:tcPr>
            <w:tcW w:w="0" w:type="auto"/>
            <w:vAlign w:val="center"/>
          </w:tcPr>
          <w:p w14:paraId="34BA262B">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Acompañamiento y cuidado</w:t>
            </w:r>
          </w:p>
        </w:tc>
        <w:tc>
          <w:tcPr>
            <w:tcW w:w="0" w:type="auto"/>
            <w:vAlign w:val="center"/>
          </w:tcPr>
          <w:p w14:paraId="742718DA">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Núcleo de resistencia afectiva</w:t>
            </w:r>
          </w:p>
        </w:tc>
      </w:tr>
      <w:tr w14:paraId="480A0E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260FF364">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Emoción</w:t>
            </w:r>
          </w:p>
        </w:tc>
        <w:tc>
          <w:tcPr>
            <w:tcW w:w="0" w:type="auto"/>
            <w:vAlign w:val="center"/>
          </w:tcPr>
          <w:p w14:paraId="52E490CD">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Miedo, esperanza, amor</w:t>
            </w:r>
          </w:p>
        </w:tc>
        <w:tc>
          <w:tcPr>
            <w:tcW w:w="0" w:type="auto"/>
            <w:vAlign w:val="center"/>
          </w:tcPr>
          <w:p w14:paraId="0BA2405C">
            <w:pPr>
              <w:spacing w:after="0" w:line="240" w:lineRule="auto"/>
              <w:jc w:val="both"/>
              <w:rPr>
                <w:rFonts w:hint="default" w:ascii="Calibri" w:hAnsi="Calibri" w:cs="Calibri"/>
                <w:sz w:val="16"/>
                <w:szCs w:val="16"/>
                <w:lang w:val="es-MX"/>
              </w:rPr>
            </w:pPr>
            <w:r>
              <w:rPr>
                <w:rFonts w:hint="default" w:ascii="Calibri" w:hAnsi="Calibri" w:cs="Calibri"/>
                <w:sz w:val="16"/>
                <w:szCs w:val="16"/>
                <w:lang w:val="es-MX"/>
              </w:rPr>
              <w:t>Motor de lucha por la vida</w:t>
            </w:r>
          </w:p>
        </w:tc>
      </w:tr>
    </w:tbl>
    <w:p w14:paraId="5F47625D">
      <w:pPr>
        <w:spacing w:after="0" w:line="240" w:lineRule="auto"/>
        <w:jc w:val="both"/>
        <w:rPr>
          <w:rFonts w:ascii="Arial" w:hAnsi="Arial" w:cs="Arial"/>
          <w:sz w:val="24"/>
          <w:szCs w:val="24"/>
          <w:lang w:val="es-MX"/>
        </w:rPr>
      </w:pPr>
    </w:p>
    <w:p w14:paraId="6EFBB547">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240" w:lineRule="auto"/>
        <w:ind w:firstLine="720"/>
        <w:jc w:val="both"/>
        <w:textAlignment w:val="auto"/>
        <w:rPr>
          <w:rFonts w:hint="default" w:ascii="Calibri" w:hAnsi="Calibri" w:eastAsia="sans-serif" w:cs="Calibri"/>
          <w:sz w:val="22"/>
          <w:szCs w:val="22"/>
          <w:lang w:val="es-ES"/>
        </w:rPr>
      </w:pPr>
      <w:r>
        <w:rPr>
          <w:rFonts w:hint="default" w:ascii="Calibri" w:hAnsi="Calibri" w:eastAsia="sans-serif" w:cs="Calibri"/>
          <w:sz w:val="22"/>
          <w:szCs w:val="22"/>
        </w:rPr>
        <w:t>Durante este episodio crítico, el tiempo adquirió un valor simbólico central. Las horas de espera, la vigilancia constante y la convivencia forzada con la posibilidad de la pérdida transformaron la percepción cotidiana del tiempo, resignificándolo como un recurso finito y profundamente relacional.</w:t>
      </w:r>
      <w:r>
        <w:rPr>
          <w:rFonts w:hint="default" w:ascii="Calibri" w:hAnsi="Calibri" w:eastAsia="sans-serif" w:cs="Calibri"/>
          <w:sz w:val="22"/>
          <w:szCs w:val="22"/>
          <w:lang w:val="es-ES"/>
        </w:rPr>
        <w:t xml:space="preserve"> </w:t>
      </w:r>
    </w:p>
    <w:p w14:paraId="060704F6">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240" w:lineRule="auto"/>
        <w:ind w:firstLine="720"/>
        <w:jc w:val="both"/>
        <w:textAlignment w:val="auto"/>
        <w:rPr>
          <w:rFonts w:hint="default" w:ascii="Calibri" w:hAnsi="Calibri" w:eastAsia="sans-serif" w:cs="Calibri"/>
          <w:sz w:val="22"/>
          <w:szCs w:val="22"/>
        </w:rPr>
      </w:pPr>
      <w:r>
        <w:rPr>
          <w:rFonts w:hint="default" w:ascii="Calibri" w:hAnsi="Calibri" w:eastAsia="sans-serif" w:cs="Calibri"/>
          <w:sz w:val="22"/>
          <w:szCs w:val="22"/>
        </w:rPr>
        <w:t>En este sentido, la vivencia analizada pone en evidencia que la resistencia no siempre adopta la forma de confrontación externa</w:t>
      </w:r>
      <w:r>
        <w:rPr>
          <w:rFonts w:hint="default" w:ascii="Calibri" w:hAnsi="Calibri" w:eastAsia="sans-serif" w:cs="Calibri"/>
          <w:sz w:val="22"/>
          <w:szCs w:val="22"/>
          <w:lang w:val="es-ES"/>
        </w:rPr>
        <w:t xml:space="preserve">, </w:t>
      </w:r>
      <w:r>
        <w:rPr>
          <w:rFonts w:hint="default" w:ascii="Calibri" w:hAnsi="Calibri" w:eastAsia="sans-serif" w:cs="Calibri"/>
          <w:sz w:val="22"/>
          <w:szCs w:val="22"/>
        </w:rPr>
        <w:t>como la insurgencia política del siglo XVIII, sino que puede manifestarse como un</w:t>
      </w:r>
      <w:r>
        <w:rPr>
          <w:rFonts w:hint="default" w:ascii="Calibri" w:hAnsi="Calibri" w:eastAsia="sans-serif" w:cs="Calibri"/>
          <w:b w:val="0"/>
          <w:bCs w:val="0"/>
          <w:sz w:val="22"/>
          <w:szCs w:val="22"/>
        </w:rPr>
        <w:t>a lucha silenciosa por la vida, sostenid</w:t>
      </w:r>
      <w:r>
        <w:rPr>
          <w:rFonts w:hint="default" w:ascii="Calibri" w:hAnsi="Calibri" w:eastAsia="sans-serif" w:cs="Calibri"/>
          <w:sz w:val="22"/>
          <w:szCs w:val="22"/>
        </w:rPr>
        <w:t>a por la presencia, el cuidado y el amor familiar. Bajo esta consideración, este episodio permite comprender que la lucha por la existencia, al igual que la lucha política, se sostiene en la convicción de permanecer junto a los seres queridos y en la fortaleza que emerge del vínculo (Arias, 2024).</w:t>
      </w:r>
    </w:p>
    <w:p w14:paraId="4FF9DC1E">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240" w:lineRule="auto"/>
        <w:ind w:firstLine="720"/>
        <w:jc w:val="both"/>
        <w:textAlignment w:val="auto"/>
        <w:rPr>
          <w:rFonts w:hint="default" w:ascii="Calibri" w:hAnsi="Calibri" w:eastAsia="sans-serif" w:cs="Calibri"/>
          <w:sz w:val="22"/>
          <w:szCs w:val="22"/>
        </w:rPr>
      </w:pPr>
      <w:r>
        <w:rPr>
          <w:rFonts w:hint="default" w:ascii="Calibri" w:hAnsi="Calibri" w:eastAsia="sans-serif" w:cs="Calibri"/>
          <w:sz w:val="22"/>
          <w:szCs w:val="22"/>
        </w:rPr>
        <w:t>Tal como sugieren las investigaciones sobre la acción colectiva y el parentesco (Jalal-Kermele, 2011), la enfermedad operó aquí como un catalizador de reflexión existencial y de reafirmación del lazo familiar como un espacio de contención, sentido y resistencia frente a la adversidad. La resistencia, en ambos casos, se redefine como una práctica relacional donde el acto de cuidar</w:t>
      </w:r>
      <w:r>
        <w:rPr>
          <w:rFonts w:hint="default" w:ascii="Calibri" w:hAnsi="Calibri" w:eastAsia="sans-serif" w:cs="Calibri"/>
          <w:sz w:val="22"/>
          <w:szCs w:val="22"/>
          <w:lang w:val="es-ES"/>
        </w:rPr>
        <w:t xml:space="preserve">, </w:t>
      </w:r>
      <w:r>
        <w:rPr>
          <w:rFonts w:hint="default" w:ascii="Calibri" w:hAnsi="Calibri" w:eastAsia="sans-serif" w:cs="Calibri"/>
          <w:sz w:val="22"/>
          <w:szCs w:val="22"/>
        </w:rPr>
        <w:t>y de dejarse cuidar</w:t>
      </w:r>
      <w:r>
        <w:rPr>
          <w:rFonts w:hint="default" w:ascii="Calibri" w:hAnsi="Calibri" w:eastAsia="sans-serif" w:cs="Calibri"/>
          <w:sz w:val="22"/>
          <w:szCs w:val="22"/>
          <w:lang w:val="es-ES"/>
        </w:rPr>
        <w:t xml:space="preserve">, </w:t>
      </w:r>
      <w:r>
        <w:rPr>
          <w:rFonts w:hint="default" w:ascii="Calibri" w:hAnsi="Calibri" w:eastAsia="sans-serif" w:cs="Calibri"/>
          <w:sz w:val="22"/>
          <w:szCs w:val="22"/>
        </w:rPr>
        <w:t xml:space="preserve"> desafía la desarticulación que la crisis, ya sea colonial o clínica, intenta imponer sobre el individuo.</w:t>
      </w:r>
    </w:p>
    <w:p w14:paraId="49AA9A28">
      <w:pPr>
        <w:pStyle w:val="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b/>
          <w:bCs/>
          <w:sz w:val="22"/>
          <w:szCs w:val="22"/>
        </w:rPr>
        <w:t>Resonancias simbólicas: La persistencia de los vínculos frente a la adversidad</w:t>
      </w:r>
    </w:p>
    <w:p w14:paraId="603FC354">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El análisis conjunto de ambos escenarios</w:t>
      </w:r>
      <w:r>
        <w:rPr>
          <w:rFonts w:hint="default" w:ascii="Calibri" w:hAnsi="Calibri" w:cs="Calibri"/>
          <w:sz w:val="22"/>
          <w:szCs w:val="22"/>
          <w:lang w:val="es-ES"/>
        </w:rPr>
        <w:t xml:space="preserve">, </w:t>
      </w:r>
      <w:r>
        <w:rPr>
          <w:rFonts w:hint="default" w:ascii="Calibri" w:hAnsi="Calibri" w:cs="Calibri"/>
          <w:sz w:val="22"/>
          <w:szCs w:val="22"/>
        </w:rPr>
        <w:t>el levantamiento de Túpac Amaru II y la crisis de salud familiar</w:t>
      </w:r>
      <w:r>
        <w:rPr>
          <w:rFonts w:hint="default" w:ascii="Calibri" w:hAnsi="Calibri" w:cs="Calibri"/>
          <w:sz w:val="22"/>
          <w:szCs w:val="22"/>
          <w:lang w:val="es-ES"/>
        </w:rPr>
        <w:t xml:space="preserve">, </w:t>
      </w:r>
      <w:r>
        <w:rPr>
          <w:rFonts w:hint="default" w:ascii="Calibri" w:hAnsi="Calibri" w:cs="Calibri"/>
          <w:sz w:val="22"/>
          <w:szCs w:val="22"/>
        </w:rPr>
        <w:t>permite identificar resonancias simbólicas que trascienden la distancia temporal. En ambos casos, la familia emerge como un espacio privilegiado de resistencia, donde el afecto, la convicción y el compromiso mutuo sostienen la acción humana frente a contextos de amenaza extrema, ya sea la violencia sistémica del aparato colonial o la fragilidad impuesta por la posibilidad de la muerte.</w:t>
      </w:r>
    </w:p>
    <w:p w14:paraId="0D641123">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lang w:val="es-ES"/>
        </w:rPr>
      </w:pPr>
      <w:r>
        <w:rPr>
          <w:rFonts w:hint="default" w:ascii="Calibri" w:hAnsi="Calibri" w:cs="Calibri"/>
          <w:sz w:val="22"/>
          <w:szCs w:val="22"/>
        </w:rPr>
        <w:t>Como se sintetiza en la Tabla 4, esta comparación permite visualizar cómo la estructura de resistencia se desplaza de la esfera pública a la privada sin perder su esencia protectora</w:t>
      </w:r>
      <w:r>
        <w:rPr>
          <w:rFonts w:hint="default" w:ascii="Calibri" w:hAnsi="Calibri" w:cs="Calibri"/>
          <w:sz w:val="22"/>
          <w:szCs w:val="22"/>
          <w:lang w:val="es-ES"/>
        </w:rPr>
        <w:t>.</w:t>
      </w:r>
    </w:p>
    <w:p w14:paraId="736A8F9E">
      <w:pPr>
        <w:spacing w:after="0" w:line="240" w:lineRule="auto"/>
        <w:jc w:val="both"/>
        <w:rPr>
          <w:rFonts w:ascii="Arial" w:hAnsi="Arial" w:cs="Arial"/>
          <w:sz w:val="24"/>
          <w:szCs w:val="24"/>
          <w:lang w:val="es-MX"/>
        </w:rPr>
      </w:pPr>
    </w:p>
    <w:p w14:paraId="39E9AE9C">
      <w:pPr>
        <w:spacing w:after="0" w:line="240" w:lineRule="auto"/>
        <w:jc w:val="both"/>
        <w:rPr>
          <w:rFonts w:hint="default" w:ascii="Calibri" w:hAnsi="Calibri" w:cs="Calibri"/>
          <w:i/>
          <w:iCs/>
          <w:sz w:val="22"/>
          <w:szCs w:val="22"/>
          <w:lang w:val="es-MX"/>
        </w:rPr>
      </w:pPr>
      <w:r>
        <w:rPr>
          <w:rFonts w:hint="default" w:ascii="Calibri" w:hAnsi="Calibri" w:cs="Calibri"/>
          <w:b/>
          <w:bCs/>
          <w:i/>
          <w:iCs/>
          <w:sz w:val="22"/>
          <w:szCs w:val="22"/>
          <w:lang w:val="es-MX"/>
        </w:rPr>
        <w:t xml:space="preserve">Tabla 4. </w:t>
      </w:r>
      <w:r>
        <w:rPr>
          <w:rFonts w:hint="default" w:ascii="Calibri" w:hAnsi="Calibri" w:cs="Calibri"/>
          <w:i/>
          <w:iCs/>
          <w:sz w:val="22"/>
          <w:szCs w:val="22"/>
          <w:lang w:val="es-MX"/>
        </w:rPr>
        <w:t>Comparación entre resistencia histórica y contemporánea</w:t>
      </w:r>
    </w:p>
    <w:p w14:paraId="2C33A7DC">
      <w:pPr>
        <w:spacing w:after="0" w:line="240" w:lineRule="auto"/>
        <w:jc w:val="center"/>
        <w:rPr>
          <w:rFonts w:ascii="Arial" w:hAnsi="Arial" w:cs="Arial"/>
          <w:sz w:val="24"/>
          <w:szCs w:val="24"/>
          <w:lang w:val="es-MX"/>
        </w:rPr>
      </w:pPr>
    </w:p>
    <w:tbl>
      <w:tblPr>
        <w:tblStyle w:val="24"/>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4"/>
        <w:gridCol w:w="2248"/>
        <w:gridCol w:w="2168"/>
      </w:tblGrid>
      <w:tr w14:paraId="1F7446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shd w:val="clear" w:color="auto" w:fill="000000" w:themeFill="text1"/>
            <w:vAlign w:val="center"/>
          </w:tcPr>
          <w:p w14:paraId="54DC7C59">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Aspecto</w:t>
            </w:r>
          </w:p>
        </w:tc>
        <w:tc>
          <w:tcPr>
            <w:tcW w:w="0" w:type="auto"/>
            <w:shd w:val="clear" w:color="auto" w:fill="000000" w:themeFill="text1"/>
            <w:vAlign w:val="center"/>
          </w:tcPr>
          <w:p w14:paraId="299B4ED4">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Siglo XVIII (Túpac Amaru II)</w:t>
            </w:r>
          </w:p>
        </w:tc>
        <w:tc>
          <w:tcPr>
            <w:tcW w:w="0" w:type="auto"/>
            <w:shd w:val="clear" w:color="auto" w:fill="000000" w:themeFill="text1"/>
            <w:vAlign w:val="center"/>
          </w:tcPr>
          <w:p w14:paraId="462BF574">
            <w:pPr>
              <w:spacing w:after="0" w:line="240" w:lineRule="auto"/>
              <w:jc w:val="center"/>
              <w:rPr>
                <w:rFonts w:hint="default" w:ascii="Calibri" w:hAnsi="Calibri" w:cs="Calibri"/>
                <w:b/>
                <w:bCs/>
                <w:color w:val="FFFFFF" w:themeColor="background1"/>
                <w:sz w:val="16"/>
                <w:szCs w:val="16"/>
                <w:lang w:val="es-MX"/>
                <w14:textFill>
                  <w14:solidFill>
                    <w14:schemeClr w14:val="bg1"/>
                  </w14:solidFill>
                </w14:textFill>
              </w:rPr>
            </w:pPr>
            <w:r>
              <w:rPr>
                <w:rFonts w:hint="default" w:ascii="Calibri" w:hAnsi="Calibri" w:cs="Calibri"/>
                <w:b/>
                <w:bCs/>
                <w:color w:val="FFFFFF" w:themeColor="background1"/>
                <w:sz w:val="16"/>
                <w:szCs w:val="16"/>
                <w:lang w:val="es-MX"/>
                <w14:textFill>
                  <w14:solidFill>
                    <w14:schemeClr w14:val="bg1"/>
                  </w14:solidFill>
                </w14:textFill>
              </w:rPr>
              <w:t>Experiencia contemporánea</w:t>
            </w:r>
          </w:p>
        </w:tc>
      </w:tr>
      <w:tr w14:paraId="66EA8F0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4AB5CAF3">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Amenaza</w:t>
            </w:r>
          </w:p>
        </w:tc>
        <w:tc>
          <w:tcPr>
            <w:tcW w:w="0" w:type="auto"/>
            <w:vAlign w:val="center"/>
          </w:tcPr>
          <w:p w14:paraId="3B379D80">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Dominación colonial</w:t>
            </w:r>
          </w:p>
        </w:tc>
        <w:tc>
          <w:tcPr>
            <w:tcW w:w="0" w:type="auto"/>
            <w:vAlign w:val="center"/>
          </w:tcPr>
          <w:p w14:paraId="5FA20D71">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Enfermedad grave</w:t>
            </w:r>
          </w:p>
        </w:tc>
      </w:tr>
      <w:tr w14:paraId="167E4F6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4F7CE2DE">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Tipo de lucha</w:t>
            </w:r>
          </w:p>
        </w:tc>
        <w:tc>
          <w:tcPr>
            <w:tcW w:w="0" w:type="auto"/>
            <w:vAlign w:val="center"/>
          </w:tcPr>
          <w:p w14:paraId="05183FC2">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Política y colectiva</w:t>
            </w:r>
          </w:p>
        </w:tc>
        <w:tc>
          <w:tcPr>
            <w:tcW w:w="0" w:type="auto"/>
            <w:vAlign w:val="center"/>
          </w:tcPr>
          <w:p w14:paraId="0E52B88A">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Vital y familiar</w:t>
            </w:r>
          </w:p>
        </w:tc>
      </w:tr>
      <w:tr w14:paraId="70E3EB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06B961B7">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Núcleo de resistencia</w:t>
            </w:r>
          </w:p>
        </w:tc>
        <w:tc>
          <w:tcPr>
            <w:tcW w:w="0" w:type="auto"/>
            <w:vAlign w:val="center"/>
          </w:tcPr>
          <w:p w14:paraId="10E6528B">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Familia Condorcanqui–Bastidas</w:t>
            </w:r>
          </w:p>
        </w:tc>
        <w:tc>
          <w:tcPr>
            <w:tcW w:w="0" w:type="auto"/>
            <w:vAlign w:val="center"/>
          </w:tcPr>
          <w:p w14:paraId="6EF966A6">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Familia nuclear</w:t>
            </w:r>
          </w:p>
        </w:tc>
      </w:tr>
      <w:tr w14:paraId="25BFC0D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72CBE859">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Motor principal</w:t>
            </w:r>
          </w:p>
        </w:tc>
        <w:tc>
          <w:tcPr>
            <w:tcW w:w="0" w:type="auto"/>
            <w:vAlign w:val="center"/>
          </w:tcPr>
          <w:p w14:paraId="139D953F">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Amor, convicción y justicia</w:t>
            </w:r>
          </w:p>
        </w:tc>
        <w:tc>
          <w:tcPr>
            <w:tcW w:w="0" w:type="auto"/>
            <w:vAlign w:val="center"/>
          </w:tcPr>
          <w:p w14:paraId="1F734F8E">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Amor, cuidado y permanencia</w:t>
            </w:r>
          </w:p>
        </w:tc>
      </w:tr>
      <w:tr w14:paraId="5A8D036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vAlign w:val="center"/>
          </w:tcPr>
          <w:p w14:paraId="4856ED06">
            <w:pPr>
              <w:spacing w:after="0" w:line="240" w:lineRule="auto"/>
              <w:jc w:val="left"/>
              <w:rPr>
                <w:rFonts w:hint="default" w:ascii="Calibri" w:hAnsi="Calibri" w:cs="Calibri"/>
                <w:sz w:val="16"/>
                <w:szCs w:val="16"/>
                <w:lang w:val="es-MX"/>
              </w:rPr>
            </w:pPr>
            <w:r>
              <w:rPr>
                <w:rFonts w:hint="default" w:ascii="Calibri" w:hAnsi="Calibri" w:cs="Calibri"/>
                <w:sz w:val="16"/>
                <w:szCs w:val="16"/>
                <w:lang w:val="es-MX"/>
              </w:rPr>
              <w:t>Resultado simbólico</w:t>
            </w:r>
          </w:p>
        </w:tc>
        <w:tc>
          <w:tcPr>
            <w:tcW w:w="0" w:type="auto"/>
            <w:vAlign w:val="center"/>
          </w:tcPr>
          <w:p w14:paraId="49CFD9FE">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Memoria histórica</w:t>
            </w:r>
          </w:p>
        </w:tc>
        <w:tc>
          <w:tcPr>
            <w:tcW w:w="0" w:type="auto"/>
            <w:vAlign w:val="center"/>
          </w:tcPr>
          <w:p w14:paraId="45EAC4CF">
            <w:pPr>
              <w:spacing w:after="0" w:line="240" w:lineRule="auto"/>
              <w:jc w:val="center"/>
              <w:rPr>
                <w:rFonts w:hint="default" w:ascii="Calibri" w:hAnsi="Calibri" w:cs="Calibri"/>
                <w:sz w:val="16"/>
                <w:szCs w:val="16"/>
                <w:lang w:val="es-MX"/>
              </w:rPr>
            </w:pPr>
            <w:r>
              <w:rPr>
                <w:rFonts w:hint="default" w:ascii="Calibri" w:hAnsi="Calibri" w:cs="Calibri"/>
                <w:sz w:val="16"/>
                <w:szCs w:val="16"/>
                <w:lang w:val="es-MX"/>
              </w:rPr>
              <w:t>Fortalecimiento del vínculo</w:t>
            </w:r>
          </w:p>
        </w:tc>
      </w:tr>
    </w:tbl>
    <w:p w14:paraId="45003935">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firstLine="720"/>
        <w:jc w:val="both"/>
        <w:textAlignment w:val="auto"/>
        <w:rPr>
          <w:rFonts w:hint="default" w:ascii="Calibri" w:hAnsi="Calibri" w:cs="Calibri"/>
          <w:b w:val="0"/>
          <w:bCs w:val="0"/>
          <w:sz w:val="22"/>
          <w:szCs w:val="22"/>
        </w:rPr>
      </w:pPr>
      <w:r>
        <w:rPr>
          <w:rFonts w:hint="default" w:ascii="Calibri" w:hAnsi="Calibri" w:cs="Calibri"/>
          <w:b w:val="0"/>
          <w:bCs w:val="0"/>
          <w:sz w:val="22"/>
          <w:szCs w:val="22"/>
        </w:rPr>
        <w:t>Estas resonancias no implican una equivalencia directa entre procesos históricos disímiles, pues, como señalan Bazurco (2020) y Quichua (2021), es imperativo respetar la especificidad de las luchas indígenas del siglo XVIII. Sin embargo, se observa una continuidad en la experiencia humana de enfrentar la adversidad desde los vínculos más íntimos. La resistencia, en este sentido, se manifiesta como una práctica profundamente relacional, enraizada en la afectividad y en la necesidad apremiante de preservar la vida y la dignidad compartida.</w:t>
      </w:r>
    </w:p>
    <w:p w14:paraId="58FB6D0D">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firstLine="720"/>
        <w:jc w:val="both"/>
        <w:textAlignment w:val="auto"/>
        <w:rPr>
          <w:rFonts w:hint="default" w:ascii="Calibri" w:hAnsi="Calibri" w:cs="Calibri"/>
          <w:b w:val="0"/>
          <w:bCs w:val="0"/>
          <w:sz w:val="22"/>
          <w:szCs w:val="22"/>
        </w:rPr>
      </w:pPr>
      <w:r>
        <w:rPr>
          <w:rFonts w:hint="default" w:ascii="Calibri" w:hAnsi="Calibri" w:cs="Calibri"/>
          <w:b w:val="0"/>
          <w:bCs w:val="0"/>
          <w:sz w:val="22"/>
          <w:szCs w:val="22"/>
        </w:rPr>
        <w:t>Teóricamente, este hallazgo se alinea con las reflexiones de Guerrero Oñate (2023) y Ormeño (2011) sobre cómo las estructuras de parentesco en el mundo andino han servido históricamente como refugio ante la desarticulación impuesta por poderes externos. La familia, por tanto, no es solo un constructo social, sino una tecnología de supervivencia emocional que, al actualizarse frente a la enfermedad o la represión, garantiza la continuidad del ser. En última instancia, el análisis demuestra que, ya sea en el campo de batalla o en la habitación de un hospital, la resistencia es, ante todo, un acto de amor político: la decisión inquebrantable de no permitir que la adversidad borre lo que, esencialmente, nos constituye como sujetos sociales y afectivos.</w:t>
      </w:r>
    </w:p>
    <w:p w14:paraId="38649095">
      <w:pPr>
        <w:pStyle w:val="3"/>
        <w:rPr>
          <w:rFonts w:cstheme="minorHAnsi"/>
          <w:b w:val="0"/>
          <w:bCs w:val="0"/>
          <w:szCs w:val="24"/>
        </w:rPr>
      </w:pPr>
      <w:r>
        <w:rPr>
          <w:rFonts w:cstheme="minorHAnsi"/>
          <w:szCs w:val="24"/>
        </w:rPr>
        <w:t>Discusión</w:t>
      </w:r>
    </w:p>
    <w:p w14:paraId="3EBD2A30">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lang w:val="es-ES"/>
        </w:rPr>
        <w:t xml:space="preserve">La </w:t>
      </w:r>
      <w:r>
        <w:rPr>
          <w:rFonts w:hint="default" w:ascii="Calibri" w:hAnsi="Calibri" w:cs="Calibri"/>
          <w:sz w:val="22"/>
          <w:szCs w:val="22"/>
        </w:rPr>
        <w:t xml:space="preserve">reconfigurar la historiografía clásica sobre la rebelión de Túpac Amaru II. Al desplazar el foco desde </w:t>
      </w:r>
      <w:r>
        <w:rPr>
          <w:rFonts w:hint="default" w:ascii="Calibri" w:hAnsi="Calibri" w:cs="Calibri"/>
          <w:sz w:val="22"/>
          <w:szCs w:val="22"/>
          <w:lang w:val="es-ES"/>
        </w:rPr>
        <w:t xml:space="preserve">de </w:t>
      </w:r>
      <w:r>
        <w:rPr>
          <w:rFonts w:hint="default" w:ascii="Calibri" w:hAnsi="Calibri" w:cs="Calibri"/>
          <w:sz w:val="22"/>
          <w:szCs w:val="22"/>
        </w:rPr>
        <w:t xml:space="preserve">puramente estructural </w:t>
      </w:r>
      <w:r>
        <w:rPr>
          <w:rFonts w:hint="default" w:ascii="Calibri" w:hAnsi="Calibri" w:cs="Calibri"/>
          <w:sz w:val="22"/>
          <w:szCs w:val="22"/>
          <w:lang w:val="es-ES"/>
        </w:rPr>
        <w:t xml:space="preserve">y </w:t>
      </w:r>
      <w:r>
        <w:rPr>
          <w:rFonts w:hint="default" w:ascii="Calibri" w:hAnsi="Calibri" w:cs="Calibri"/>
          <w:sz w:val="22"/>
          <w:szCs w:val="22"/>
        </w:rPr>
        <w:t>centrada en las dimensiones económicas, políticas y militares</w:t>
      </w:r>
      <w:r>
        <w:rPr>
          <w:rFonts w:hint="default" w:ascii="Calibri" w:hAnsi="Calibri" w:cs="Calibri"/>
          <w:sz w:val="22"/>
          <w:szCs w:val="22"/>
          <w:lang w:val="es-ES"/>
        </w:rPr>
        <w:t xml:space="preserve">, </w:t>
      </w:r>
      <w:r>
        <w:rPr>
          <w:rFonts w:hint="default" w:ascii="Calibri" w:hAnsi="Calibri" w:cs="Calibri"/>
          <w:sz w:val="22"/>
          <w:szCs w:val="22"/>
        </w:rPr>
        <w:t xml:space="preserve"> hacia una interpretación antropológica, se reconoce a la familia no como un contexto pasivo, sino como un dispositivo central de resistencia simbólica, afectiva y moral. Esta perspectiva no busca invalidar los enfoques tradicionales, sino complementarlos al evidenciar que la acción insurgente se sostuvo en una trama profunda de vínculos íntimos que otorgaron sentido, continuidad y fortaleza al proyecto colectivo (O’Phelan, 1979; Walker, 2015). En este sentido, la familia Condorcanqui–Bastidas emerge como una estructura relacional que articuló el liderazgo, la afectividad y el compromiso político, confirmando lo planteado por Fargas Peñarrocha (2021) respecto a la familia como un espacio de producción simbólica esencial incluso en contextos de alto riesgo.</w:t>
      </w:r>
    </w:p>
    <w:p w14:paraId="48057AE0">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La participación activa de Micaela Bastidas refuerza esta lectura. Su rol no puede ser comprendido meramente en términos funcionales o de apoyo estratégico; por el contrario, debe ser analizado como una forma de resistencia encarnada. Como señalan Kanashiro (2021) y Pita Pico (2019), la integración de la dimensión emocional —la protección de la prole, la lealtad conyugal y la responsabilidad intergeneracional— con la estrategia militar y política fue una característica distintiva de su agencia. Esta integración desafía las lecturas que han relegado a las mujeres a roles secundarios, posicionando su liderazgo como un eje gravitacional sin el cual la cohesión del movimiento habría sido insostenible.</w:t>
      </w:r>
    </w:p>
    <w:p w14:paraId="6124DEA6">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La violencia extrema ejercida por el aparato colonial confirma que el poder imperial reconocía implícitamente el potencial subversivo del parentesco. La ejecución pública, el exilio y la negación forzada de los vínculos filiales no fueron solo actos de crueldad, sino estrategias deliberadas para desarticular la capacidad simbólica de la familia como reproductora de memoria y ejemplo (Cahill, 1999; Jalal-Kermele, 2011). Como exponen Parolo (2017) y Bazurco (2020), la represión buscó destruir no solo los cuerpos de los líderes, sino la infraestructura afectiva que permitía la continuidad de la resistencia. Esta interpretación dialoga con los estudios de Guerrero Oñate (2023) y Huerta (2021) sobre cómo la corona española reaccionó ferozmente ante cualquier forma de liderazgo indígena que amenazara la estabilidad del orden virreinal, utilizando el castigo ejemplar para quebrar el tejido social que sostenía la insurrección.</w:t>
      </w:r>
    </w:p>
    <w:p w14:paraId="37C071AB">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La incorporación de la experiencia autoetnográfica contemporánea permite ampliar el análisis más allá del caso histórico, mostrando que la resistencia afectiva constituye una constante antropológica en contextos de amenaza extrema. La crisis de salud analizada funciona como una "resonancia simbólica"</w:t>
      </w:r>
      <w:r>
        <w:rPr>
          <w:rFonts w:hint="default" w:ascii="Calibri" w:hAnsi="Calibri" w:cs="Calibri"/>
          <w:sz w:val="22"/>
          <w:szCs w:val="22"/>
          <w:lang w:val="es-ES"/>
        </w:rPr>
        <w:t xml:space="preserve">, </w:t>
      </w:r>
      <w:r>
        <w:rPr>
          <w:rFonts w:hint="default" w:ascii="Calibri" w:hAnsi="Calibri" w:cs="Calibri"/>
          <w:sz w:val="22"/>
          <w:szCs w:val="22"/>
        </w:rPr>
        <w:t>no como una equivalencia directa</w:t>
      </w:r>
      <w:r>
        <w:rPr>
          <w:rFonts w:hint="default" w:ascii="Calibri" w:hAnsi="Calibri" w:cs="Calibri"/>
          <w:sz w:val="22"/>
          <w:szCs w:val="22"/>
          <w:lang w:val="es-ES"/>
        </w:rPr>
        <w:t>,</w:t>
      </w:r>
      <w:r>
        <w:rPr>
          <w:rFonts w:hint="default" w:ascii="Calibri" w:hAnsi="Calibri" w:cs="Calibri"/>
          <w:sz w:val="22"/>
          <w:szCs w:val="22"/>
        </w:rPr>
        <w:t xml:space="preserve"> que ilumina dimensiones humanas frecuentemente invisibilizadas en los análisis macrosociales (Arias, 2024). Mientras la rebelión del siglo XVIII significó una urgencia histórica frente a la opresión colonial, la experiencia contemporánea revela una revalorización del tiempo suspendido ante la fragilidad de la vida. Esta resignificación refuerza la idea de que la resistencia también se manifiesta como permanencia, cuidado y presencia, dimensiones fundamentales para entender la agencia humana más allá de la confrontación abierta (Quichua, 2021; Espinal Enciso, 2025).</w:t>
      </w:r>
    </w:p>
    <w:p w14:paraId="013C8F3D">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firstLine="720"/>
        <w:jc w:val="both"/>
        <w:textAlignment w:val="auto"/>
        <w:rPr>
          <w:rFonts w:hint="default" w:ascii="Calibri" w:hAnsi="Calibri" w:cs="Calibri"/>
          <w:sz w:val="22"/>
          <w:szCs w:val="22"/>
        </w:rPr>
      </w:pPr>
      <w:r>
        <w:rPr>
          <w:rFonts w:hint="default" w:ascii="Calibri" w:hAnsi="Calibri" w:cs="Calibri"/>
          <w:sz w:val="22"/>
          <w:szCs w:val="22"/>
        </w:rPr>
        <w:t>En última instancia, el estudio demuestra que la resistencia no es una práctica política despersonalizada, sino una experiencia profundamente humana sostenida por afectos y convicciones. La familia, tanto en el pasado como en el presente, aparece como el espacio donde se producen sentidos de dignidad, justicia y vitalidad (Gutiérrez Escudero, 2006). En concordancia con los aportes de Bunster y Lorandi (2025) y Ormeño (2011), se concluye que los grandes procesos sociales</w:t>
      </w:r>
      <w:r>
        <w:rPr>
          <w:rFonts w:hint="default" w:ascii="Calibri" w:hAnsi="Calibri" w:cs="Calibri"/>
          <w:sz w:val="22"/>
          <w:szCs w:val="22"/>
          <w:lang w:val="es-ES"/>
        </w:rPr>
        <w:t xml:space="preserve">, </w:t>
      </w:r>
      <w:r>
        <w:rPr>
          <w:rFonts w:hint="default" w:ascii="Calibri" w:hAnsi="Calibri" w:cs="Calibri"/>
          <w:sz w:val="22"/>
          <w:szCs w:val="22"/>
        </w:rPr>
        <w:t>ya sean de emancipación o de superación de crisis personales</w:t>
      </w:r>
      <w:r>
        <w:rPr>
          <w:rFonts w:hint="default" w:ascii="Calibri" w:hAnsi="Calibri" w:cs="Calibri"/>
          <w:sz w:val="22"/>
          <w:szCs w:val="22"/>
          <w:lang w:val="es-ES"/>
        </w:rPr>
        <w:t>,</w:t>
      </w:r>
      <w:r>
        <w:rPr>
          <w:rFonts w:hint="default" w:ascii="Calibri" w:hAnsi="Calibri" w:cs="Calibri"/>
          <w:sz w:val="22"/>
          <w:szCs w:val="22"/>
        </w:rPr>
        <w:t xml:space="preserve"> se sostienen sobre vínculos íntimos. Es a través de estos lazos que la acción colectiva adquiere coherencia, legitimidad y la fuerza necesaria para persistir ante cualquier forma de adversidad histórica.</w:t>
      </w:r>
    </w:p>
    <w:p w14:paraId="5207ECDC">
      <w:pPr>
        <w:pStyle w:val="3"/>
        <w:rPr>
          <w:rFonts w:cstheme="minorHAnsi"/>
          <w:b w:val="0"/>
          <w:bCs w:val="0"/>
          <w:szCs w:val="24"/>
        </w:rPr>
      </w:pPr>
      <w:r>
        <w:rPr>
          <w:rFonts w:cstheme="minorHAnsi"/>
          <w:szCs w:val="24"/>
        </w:rPr>
        <w:t>Consideraciones finales</w:t>
      </w:r>
    </w:p>
    <w:p w14:paraId="4D286EC6">
      <w:pPr>
        <w:pStyle w:val="2"/>
        <w:spacing w:after="0"/>
        <w:ind w:firstLine="720"/>
        <w:rPr>
          <w:rFonts w:cstheme="minorHAnsi"/>
          <w:b w:val="0"/>
          <w:bCs w:val="0"/>
          <w:sz w:val="22"/>
          <w:szCs w:val="22"/>
          <w:lang w:eastAsia="es-VE"/>
        </w:rPr>
      </w:pPr>
      <w:r>
        <w:rPr>
          <w:rFonts w:hint="default" w:cstheme="minorHAnsi"/>
          <w:b w:val="0"/>
          <w:bCs w:val="0"/>
          <w:sz w:val="22"/>
          <w:szCs w:val="22"/>
          <w:lang w:eastAsia="es-VE"/>
        </w:rPr>
        <w:t>El análisis desarrollado en este artículo permite afirmar que la rebelión encabezada por Túpac Amaru II no puede ser comprendida de manera integral si se excluye la dimensión familiar y afectiva que la sostuvo, así, la experiencia histórica de la familia Condorcanqui–Bastidas evidencia que la resistencia no fue únicamente una respuesta estructural a la opresión colonial, sino una práctica profundamente humana, anclada en vínculos de parentesco, lealtades emocionales y compromisos morales compartidos, en este sentido, la familia operó como un espacio central de producción simbólica desde el cual se articularon el liderazgo político, la cohesión social y la continuidad del proyecto insurgente, asimismo, el rol desempeñado por Micaela Bastidas confirma que la resistencia no se organizó únicamente desde lógicas patriarcales o jerárquicas, sino a partir de una relación conyugal y familiar basada en la confianza, la corresponsabilidad y la convicción compartida de justicia. Su liderazgo estratégico y afectivo cuestiona las lecturas tradicionales que minimizan la participación femenina en los procesos históricos, y reafirma la necesidad de incorporar enfoques antropológicos y de género para una comprensión más completa de las dinámicas de poder y resistencia en el periodo colonial. La incorporación de la autoetnografía como recurso metodológico permitió establecer un diálogo reflexivo entre pasado y presente, evidenciando que la familia continúa siendo un núcleo privilegiado de resistencia frente a contextos de adversidad extrema, sin establecer equivalencias históricas, las resonancias simbólicas identificadas muestran que el amor, el cuidado y la permanencia constituyen fuerzas movilizadoras que sostienen tanto la lucha política como la lucha por la vida, así, de este modo, la resistencia se revela no solo como confrontación externa, sino también como una práctica cotidiana y relacional.</w:t>
      </w:r>
    </w:p>
    <w:p w14:paraId="5460F77B">
      <w:pPr>
        <w:pStyle w:val="2"/>
        <w:spacing w:before="238"/>
        <w:rPr>
          <w:sz w:val="24"/>
          <w:szCs w:val="24"/>
        </w:rPr>
      </w:pPr>
      <w:r>
        <w:rPr>
          <w:spacing w:val="-2"/>
          <w:sz w:val="24"/>
          <w:szCs w:val="24"/>
        </w:rPr>
        <w:t>Agradecimientos</w:t>
      </w:r>
    </w:p>
    <w:p w14:paraId="2702FB95">
      <w:pPr>
        <w:spacing w:before="184"/>
        <w:ind w:firstLine="720"/>
        <w:jc w:val="both"/>
        <w:rPr>
          <w:lang w:val="es-ES"/>
        </w:rPr>
      </w:pPr>
      <w:r>
        <w:rPr>
          <w:lang w:val="es-ES"/>
        </w:rPr>
        <w:t>A</w:t>
      </w:r>
      <w:r>
        <w:rPr>
          <w:spacing w:val="-7"/>
          <w:lang w:val="es-ES"/>
        </w:rPr>
        <w:t xml:space="preserve"> </w:t>
      </w:r>
      <w:r>
        <w:rPr>
          <w:lang w:val="es-ES"/>
        </w:rPr>
        <w:t>nuestros colaboradores</w:t>
      </w:r>
      <w:r>
        <w:rPr>
          <w:spacing w:val="-2"/>
          <w:lang w:val="es-ES"/>
        </w:rPr>
        <w:t>.</w:t>
      </w:r>
    </w:p>
    <w:p w14:paraId="387A4B10">
      <w:pPr>
        <w:pStyle w:val="2"/>
        <w:spacing w:before="241"/>
        <w:rPr>
          <w:sz w:val="24"/>
          <w:szCs w:val="24"/>
        </w:rPr>
      </w:pPr>
      <w:bookmarkStart w:id="2" w:name="Conflicto_de_intereses"/>
      <w:bookmarkEnd w:id="2"/>
      <w:r>
        <w:rPr>
          <w:sz w:val="24"/>
          <w:szCs w:val="24"/>
        </w:rPr>
        <w:t>Conflicto</w:t>
      </w:r>
      <w:r>
        <w:rPr>
          <w:spacing w:val="-3"/>
          <w:sz w:val="24"/>
          <w:szCs w:val="24"/>
        </w:rPr>
        <w:t xml:space="preserve"> </w:t>
      </w:r>
      <w:r>
        <w:rPr>
          <w:sz w:val="24"/>
          <w:szCs w:val="24"/>
        </w:rPr>
        <w:t>de</w:t>
      </w:r>
      <w:r>
        <w:rPr>
          <w:spacing w:val="-4"/>
          <w:sz w:val="24"/>
          <w:szCs w:val="24"/>
        </w:rPr>
        <w:t xml:space="preserve"> </w:t>
      </w:r>
      <w:r>
        <w:rPr>
          <w:spacing w:val="-2"/>
          <w:sz w:val="24"/>
          <w:szCs w:val="24"/>
        </w:rPr>
        <w:t>intereses</w:t>
      </w:r>
    </w:p>
    <w:p w14:paraId="469E66AD">
      <w:pPr>
        <w:spacing w:before="182"/>
        <w:ind w:firstLine="720"/>
        <w:jc w:val="both"/>
        <w:rPr>
          <w:szCs w:val="24"/>
          <w:lang w:val="es-ES"/>
        </w:rPr>
      </w:pPr>
      <w:r>
        <w:rPr>
          <w:szCs w:val="24"/>
          <w:lang w:val="es-ES"/>
        </w:rPr>
        <w:t>Ninguno</w:t>
      </w:r>
      <w:r>
        <w:rPr>
          <w:spacing w:val="-2"/>
          <w:szCs w:val="24"/>
          <w:lang w:val="es-ES"/>
        </w:rPr>
        <w:t>.</w:t>
      </w:r>
    </w:p>
    <w:p w14:paraId="52E17F54">
      <w:pPr>
        <w:keepNext w:val="0"/>
        <w:keepLines w:val="0"/>
        <w:pageBreakBefore w:val="0"/>
        <w:widowControl/>
        <w:kinsoku/>
        <w:wordWrap/>
        <w:overflowPunct/>
        <w:topLinePunct w:val="0"/>
        <w:autoSpaceDE/>
        <w:autoSpaceDN/>
        <w:bidi w:val="0"/>
        <w:adjustRightInd/>
        <w:snapToGrid/>
        <w:spacing w:before="240" w:beforeAutospacing="0" w:after="120" w:afterAutospacing="0" w:line="240" w:lineRule="auto"/>
        <w:textAlignment w:val="auto"/>
        <w:outlineLvl w:val="2"/>
        <w:rPr>
          <w:rFonts w:cstheme="minorHAnsi"/>
          <w:sz w:val="20"/>
          <w:szCs w:val="20"/>
          <w:lang w:val="es-ES"/>
        </w:rPr>
      </w:pPr>
      <w:r>
        <w:rPr>
          <w:rFonts w:eastAsia="Times New Roman" w:cstheme="minorHAnsi"/>
          <w:b/>
          <w:bCs/>
          <w:sz w:val="24"/>
          <w:szCs w:val="24"/>
          <w:lang w:val="es-ES" w:eastAsia="es-VE"/>
        </w:rPr>
        <w:t>Referencias</w:t>
      </w:r>
    </w:p>
    <w:p w14:paraId="1271D51D">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Arias, R. (2024). </w:t>
      </w:r>
      <w:r>
        <w:rPr>
          <w:rFonts w:hint="default" w:ascii="Calibri" w:hAnsi="Calibri" w:cs="Calibri"/>
          <w:i/>
          <w:iCs/>
          <w:sz w:val="22"/>
          <w:szCs w:val="22"/>
        </w:rPr>
        <w:t>Amistad y servicio: La experiencia de ser voluntario</w:t>
      </w:r>
      <w:r>
        <w:rPr>
          <w:rFonts w:hint="default" w:ascii="Calibri" w:hAnsi="Calibri" w:cs="Calibri"/>
          <w:sz w:val="22"/>
          <w:szCs w:val="22"/>
        </w:rPr>
        <w:t>. Universidad Nacional de Huancavelica.</w:t>
      </w:r>
    </w:p>
    <w:p w14:paraId="71F4F4AD">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Arroyo, E. (2015). Túpac Amaru II: 235 años de su gesta emancipadora. </w:t>
      </w:r>
      <w:r>
        <w:rPr>
          <w:rFonts w:hint="default" w:ascii="Calibri" w:hAnsi="Calibri" w:cs="Calibri"/>
          <w:i/>
          <w:iCs/>
          <w:sz w:val="22"/>
          <w:szCs w:val="22"/>
        </w:rPr>
        <w:t>Tradición</w:t>
      </w:r>
      <w:r>
        <w:rPr>
          <w:rFonts w:hint="default" w:ascii="Calibri" w:hAnsi="Calibri" w:cs="Calibri"/>
          <w:sz w:val="22"/>
          <w:szCs w:val="22"/>
        </w:rPr>
        <w:t xml:space="preserve">, (15), 22–27.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"https://doi.org/10.31381/tradicion.v0i15.301"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https://doi.org/10.31381/tradicion.v0i15.301</w:t>
      </w:r>
      <w:r>
        <w:rPr>
          <w:rFonts w:hint="default" w:ascii="Calibri" w:hAnsi="Calibri" w:cs="Calibri"/>
          <w:sz w:val="22"/>
          <w:szCs w:val="22"/>
        </w:rPr>
        <w:fldChar w:fldCharType="end"/>
      </w:r>
    </w:p>
    <w:p w14:paraId="46D81A70">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Bazurco, R. (2020). Testimonio y representación durante el sitio de la Intendencia de La Paz en 1782 en las postrimerías de la insurgencia de Túpac Amaru II. </w:t>
      </w:r>
      <w:r>
        <w:rPr>
          <w:rFonts w:hint="default" w:ascii="Calibri" w:hAnsi="Calibri" w:cs="Calibri"/>
          <w:i/>
          <w:iCs/>
          <w:sz w:val="22"/>
          <w:szCs w:val="22"/>
        </w:rPr>
        <w:t>Acta Herediana</w:t>
      </w:r>
      <w:r>
        <w:rPr>
          <w:rFonts w:hint="default" w:ascii="Calibri" w:hAnsi="Calibri" w:cs="Calibri"/>
          <w:sz w:val="22"/>
          <w:szCs w:val="22"/>
        </w:rPr>
        <w:t xml:space="preserve">, </w:t>
      </w:r>
      <w:r>
        <w:rPr>
          <w:rFonts w:hint="default" w:ascii="Calibri" w:hAnsi="Calibri" w:cs="Calibri"/>
          <w:i/>
          <w:iCs/>
          <w:sz w:val="22"/>
          <w:szCs w:val="22"/>
        </w:rPr>
        <w:t>63</w:t>
      </w:r>
      <w:r>
        <w:rPr>
          <w:rFonts w:hint="default" w:ascii="Calibri" w:hAnsi="Calibri" w:cs="Calibri"/>
          <w:sz w:val="22"/>
          <w:szCs w:val="22"/>
        </w:rPr>
        <w:t xml:space="preserve">(2), 167–174.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"https://doi.org/10.20453/ah.v63i2.3837"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https://doi.org/10.20453/ah.v63i2.3837</w:t>
      </w:r>
      <w:r>
        <w:rPr>
          <w:rFonts w:hint="default" w:ascii="Calibri" w:hAnsi="Calibri" w:cs="Calibri"/>
          <w:sz w:val="22"/>
          <w:szCs w:val="22"/>
        </w:rPr>
        <w:fldChar w:fldCharType="end"/>
      </w:r>
    </w:p>
    <w:p w14:paraId="33386332">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Bunster, C., &amp; Lorandi, A. M. (2025). El fantasma del criollismo después de la rebelión de Túpac Amaru. </w:t>
      </w:r>
      <w:r>
        <w:rPr>
          <w:rFonts w:hint="default" w:ascii="Calibri" w:hAnsi="Calibri" w:cs="Calibri"/>
          <w:i/>
          <w:iCs/>
          <w:sz w:val="22"/>
          <w:szCs w:val="22"/>
        </w:rPr>
        <w:t>Histórica</w:t>
      </w:r>
      <w:r>
        <w:rPr>
          <w:rFonts w:hint="default" w:ascii="Calibri" w:hAnsi="Calibri" w:cs="Calibri"/>
          <w:sz w:val="22"/>
          <w:szCs w:val="22"/>
        </w:rPr>
        <w:t xml:space="preserve">, </w:t>
      </w:r>
      <w:r>
        <w:rPr>
          <w:rFonts w:hint="default" w:ascii="Calibri" w:hAnsi="Calibri" w:cs="Calibri"/>
          <w:i/>
          <w:iCs/>
          <w:sz w:val="22"/>
          <w:szCs w:val="22"/>
        </w:rPr>
        <w:t>30</w:t>
      </w:r>
      <w:r>
        <w:rPr>
          <w:rFonts w:hint="default" w:ascii="Calibri" w:hAnsi="Calibri" w:cs="Calibri"/>
          <w:sz w:val="22"/>
          <w:szCs w:val="22"/>
        </w:rPr>
        <w:t xml:space="preserve">(1), 99–135.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"https://doi.org/10.18800/historica.200601.003"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https://doi.org/10.18800/historica.200601.003</w:t>
      </w:r>
      <w:r>
        <w:rPr>
          <w:rFonts w:hint="default" w:ascii="Calibri" w:hAnsi="Calibri" w:cs="Calibri"/>
          <w:sz w:val="22"/>
          <w:szCs w:val="22"/>
        </w:rPr>
        <w:fldChar w:fldCharType="end"/>
      </w:r>
    </w:p>
    <w:p w14:paraId="71D66877">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Cahill, D. (1999). </w:t>
      </w:r>
      <w:r>
        <w:rPr>
          <w:rFonts w:hint="default" w:ascii="Calibri" w:hAnsi="Calibri" w:cs="Calibri"/>
          <w:i/>
          <w:iCs/>
          <w:sz w:val="22"/>
          <w:szCs w:val="22"/>
        </w:rPr>
        <w:t>Violencia, represión y rebelión en el sur andino: La sublevación de Túpac Amaru y sus consecuencias</w:t>
      </w:r>
      <w:r>
        <w:rPr>
          <w:rFonts w:hint="default" w:ascii="Calibri" w:hAnsi="Calibri" w:cs="Calibri"/>
          <w:sz w:val="22"/>
          <w:szCs w:val="22"/>
        </w:rPr>
        <w:t xml:space="preserve"> (Documento de trabajo N.º 105, Serie Historia N.º 17). Instituto de Estudios Peruanos. </w:t>
      </w:r>
      <w:r>
        <w:rPr>
          <w:rFonts w:hint="default" w:ascii="Calibri" w:hAnsi="Calibri" w:cs="Calibri"/>
          <w:sz w:val="22"/>
          <w:szCs w:val="22"/>
        </w:rPr>
        <w:fldChar w:fldCharType="begin"/>
      </w:r>
      <w:r>
        <w:rPr>
          <w:rFonts w:hint="default" w:ascii="Calibri" w:hAnsi="Calibri" w:cs="Calibri"/>
          <w:sz w:val="22"/>
          <w:szCs w:val="22"/>
        </w:rPr>
        <w:instrText xml:space="preserve"> HYPERLINK "https://centroderecursos.cultura.pe/es/registrobibliografico/violencia-represi%C3%B3n-y-rebeli%C3%B3n-en-el-sur-andino-la-sublevaci%C3%B3n-de-t%C3%BApac-amaru" \t "_blank" </w:instrText>
      </w:r>
      <w:r>
        <w:rPr>
          <w:rFonts w:hint="default" w:ascii="Calibri" w:hAnsi="Calibri" w:cs="Calibri"/>
          <w:sz w:val="22"/>
          <w:szCs w:val="22"/>
        </w:rPr>
        <w:fldChar w:fldCharType="separate"/>
      </w:r>
      <w:r>
        <w:rPr>
          <w:rStyle w:val="11"/>
          <w:rFonts w:hint="default" w:ascii="Calibri" w:hAnsi="Calibri" w:cs="Calibri"/>
          <w:sz w:val="22"/>
          <w:szCs w:val="22"/>
        </w:rPr>
        <w:t>https://centroderecursos.cultura.pe/es/registrobibliografico/violencia-represi%C3%B3n-y-rebeli%C3%B3n-en-el-sur-andino-la-sublevaci%C3%B3n-de-t%C3%BApac-amaru</w:t>
      </w:r>
      <w:r>
        <w:rPr>
          <w:rFonts w:hint="default" w:ascii="Calibri" w:hAnsi="Calibri" w:cs="Calibri"/>
          <w:sz w:val="22"/>
          <w:szCs w:val="22"/>
        </w:rPr>
        <w:fldChar w:fldCharType="end"/>
      </w:r>
    </w:p>
    <w:p w14:paraId="1F8722FC">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Escanilla, S. (2021). El rol de los sectores indígenas en la independencia del Perú: Bases para una nueva interpretación. </w:t>
      </w:r>
      <w:r>
        <w:rPr>
          <w:rFonts w:hint="default" w:ascii="Calibri" w:hAnsi="Calibri" w:cs="Calibri"/>
          <w:i/>
          <w:iCs/>
          <w:sz w:val="22"/>
          <w:szCs w:val="22"/>
        </w:rPr>
        <w:t>Revista de Indias</w:t>
      </w:r>
      <w:r>
        <w:rPr>
          <w:rFonts w:hint="default" w:ascii="Calibri" w:hAnsi="Calibri" w:cs="Calibri"/>
          <w:sz w:val="22"/>
          <w:szCs w:val="22"/>
        </w:rPr>
        <w:t xml:space="preserve">, </w:t>
      </w:r>
      <w:r>
        <w:rPr>
          <w:rFonts w:hint="default" w:ascii="Calibri" w:hAnsi="Calibri" w:cs="Calibri"/>
          <w:i/>
          <w:iCs/>
          <w:sz w:val="22"/>
          <w:szCs w:val="22"/>
        </w:rPr>
        <w:t>LXXXI</w:t>
      </w:r>
      <w:r>
        <w:rPr>
          <w:rFonts w:hint="default" w:ascii="Calibri" w:hAnsi="Calibri" w:cs="Calibri"/>
          <w:sz w:val="22"/>
          <w:szCs w:val="22"/>
        </w:rPr>
        <w:t>(281), 51–81.</w:t>
      </w:r>
    </w:p>
    <w:p w14:paraId="4AB8C78C">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Espinal Enciso, V. F. (2025). El cacique en su laberinto: Ignacio Quispe Ninavilca y la guerra de independencia. Huarochirí, Perú, 1820-1824. </w:t>
      </w:r>
      <w:r>
        <w:rPr>
          <w:rFonts w:hint="default" w:ascii="Calibri" w:hAnsi="Calibri" w:cs="Calibri"/>
          <w:i/>
          <w:iCs/>
          <w:sz w:val="22"/>
          <w:szCs w:val="22"/>
        </w:rPr>
        <w:t>Trashumante: Revista Americana de Historia Social</w:t>
      </w:r>
      <w:r>
        <w:rPr>
          <w:rFonts w:hint="default" w:ascii="Calibri" w:hAnsi="Calibri" w:cs="Calibri"/>
          <w:sz w:val="22"/>
          <w:szCs w:val="22"/>
        </w:rPr>
        <w:t xml:space="preserve">, (23), 212–235.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"https://doi.org/10.17533/udea.trahs.n23a10"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https://doi.org/10.17533/udea.trahs.n23a10</w:t>
      </w:r>
      <w:r>
        <w:rPr>
          <w:rFonts w:hint="default" w:ascii="Calibri" w:hAnsi="Calibri" w:cs="Calibri"/>
          <w:sz w:val="22"/>
          <w:szCs w:val="22"/>
        </w:rPr>
        <w:fldChar w:fldCharType="end"/>
      </w:r>
    </w:p>
    <w:p w14:paraId="6F55F990">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Fargas Peñarrocha, M. (2021). Secretos y mujeres: Del género y los riesgos del conflicto en la familia moderna. </w:t>
      </w:r>
      <w:r>
        <w:rPr>
          <w:rFonts w:hint="default" w:ascii="Calibri" w:hAnsi="Calibri" w:cs="Calibri"/>
          <w:i/>
          <w:iCs/>
          <w:sz w:val="22"/>
          <w:szCs w:val="22"/>
        </w:rPr>
        <w:t>Arenal: Revista de Historia de las Mujeres</w:t>
      </w:r>
      <w:r>
        <w:rPr>
          <w:rFonts w:hint="default" w:ascii="Calibri" w:hAnsi="Calibri" w:cs="Calibri"/>
          <w:sz w:val="22"/>
          <w:szCs w:val="22"/>
        </w:rPr>
        <w:t xml:space="preserve">, </w:t>
      </w:r>
      <w:r>
        <w:rPr>
          <w:rFonts w:hint="default" w:ascii="Calibri" w:hAnsi="Calibri" w:cs="Calibri"/>
          <w:i/>
          <w:iCs/>
          <w:sz w:val="22"/>
          <w:szCs w:val="22"/>
        </w:rPr>
        <w:t>28</w:t>
      </w:r>
      <w:r>
        <w:rPr>
          <w:rFonts w:hint="default" w:ascii="Calibri" w:hAnsi="Calibri" w:cs="Calibri"/>
          <w:sz w:val="22"/>
          <w:szCs w:val="22"/>
        </w:rPr>
        <w:t xml:space="preserve">(2), 361–384.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"https://doi.org/10.30827/arenal.v28i2.15931"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https://doi.org/10.30827/arenal.v28i2.15931</w:t>
      </w:r>
      <w:r>
        <w:rPr>
          <w:rFonts w:hint="default" w:ascii="Calibri" w:hAnsi="Calibri" w:cs="Calibri"/>
          <w:sz w:val="22"/>
          <w:szCs w:val="22"/>
        </w:rPr>
        <w:fldChar w:fldCharType="end"/>
      </w:r>
    </w:p>
    <w:p w14:paraId="6748BB18">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Fernández, R. (2005). </w:t>
      </w:r>
      <w:r>
        <w:rPr>
          <w:rFonts w:hint="default" w:ascii="Calibri" w:hAnsi="Calibri" w:cs="Calibri"/>
          <w:i/>
          <w:iCs/>
          <w:sz w:val="22"/>
          <w:szCs w:val="22"/>
        </w:rPr>
        <w:t>Micaela Bastidas en la historia, literatura y cultura peruana: Análisis de sus reconfiguraciones discursivas</w:t>
      </w:r>
      <w:r>
        <w:rPr>
          <w:rFonts w:hint="default" w:ascii="Calibri" w:hAnsi="Calibri" w:cs="Calibri"/>
          <w:sz w:val="22"/>
          <w:szCs w:val="22"/>
        </w:rPr>
        <w:t xml:space="preserve"> [Tesis doctoral, University of Kentucky]. ProQuest Dissertations &amp; Theses Global.</w:t>
      </w:r>
    </w:p>
    <w:p w14:paraId="05F844C8">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Guerrero Oñate, P. A. (2023). Élites indígenas, liberalismo y derecho comunal a la tierra: El espacio surandino peruano durante el siglo XIX. </w:t>
      </w:r>
      <w:r>
        <w:rPr>
          <w:rFonts w:hint="default" w:ascii="Calibri" w:hAnsi="Calibri" w:cs="Calibri"/>
          <w:i/>
          <w:iCs/>
          <w:sz w:val="22"/>
          <w:szCs w:val="22"/>
        </w:rPr>
        <w:t>Historia 396</w:t>
      </w:r>
      <w:r>
        <w:rPr>
          <w:rFonts w:hint="default" w:ascii="Calibri" w:hAnsi="Calibri" w:cs="Calibri"/>
          <w:sz w:val="22"/>
          <w:szCs w:val="22"/>
        </w:rPr>
        <w:t xml:space="preserve">, </w:t>
      </w:r>
      <w:r>
        <w:rPr>
          <w:rFonts w:hint="default" w:ascii="Calibri" w:hAnsi="Calibri" w:cs="Calibri"/>
          <w:i/>
          <w:iCs/>
          <w:sz w:val="22"/>
          <w:szCs w:val="22"/>
        </w:rPr>
        <w:t>12</w:t>
      </w:r>
      <w:r>
        <w:rPr>
          <w:rFonts w:hint="default" w:ascii="Calibri" w:hAnsi="Calibri" w:cs="Calibri"/>
          <w:sz w:val="22"/>
          <w:szCs w:val="22"/>
        </w:rPr>
        <w:t xml:space="preserve">(2), 121–156.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"https://doi.org/10.4151/07197969-vol.12-iss.2-art.657"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https://doi.org/10.4151/07197969-vol.12-iss.2-art.657</w:t>
      </w:r>
      <w:r>
        <w:rPr>
          <w:rFonts w:hint="default" w:ascii="Calibri" w:hAnsi="Calibri" w:cs="Calibri"/>
          <w:sz w:val="22"/>
          <w:szCs w:val="22"/>
        </w:rPr>
        <w:fldChar w:fldCharType="end"/>
      </w:r>
    </w:p>
    <w:p w14:paraId="2D9EA463">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Gutiérrez Escudero, A. (2006). Tupac Amaru II, sol vencido: ¿El primer precursor de la emancipación? </w:t>
      </w:r>
      <w:r>
        <w:rPr>
          <w:rFonts w:hint="default" w:ascii="Calibri" w:hAnsi="Calibri" w:cs="Calibri"/>
          <w:i/>
          <w:iCs/>
          <w:sz w:val="22"/>
          <w:szCs w:val="22"/>
        </w:rPr>
        <w:t>Araucaria</w:t>
      </w:r>
      <w:r>
        <w:rPr>
          <w:rFonts w:hint="default" w:ascii="Calibri" w:hAnsi="Calibri" w:cs="Calibri"/>
          <w:sz w:val="22"/>
          <w:szCs w:val="22"/>
        </w:rPr>
        <w:t xml:space="preserve">, </w:t>
      </w:r>
      <w:r>
        <w:rPr>
          <w:rFonts w:hint="default" w:ascii="Calibri" w:hAnsi="Calibri" w:cs="Calibri"/>
          <w:i/>
          <w:iCs/>
          <w:sz w:val="22"/>
          <w:szCs w:val="22"/>
        </w:rPr>
        <w:t>1</w:t>
      </w:r>
      <w:r>
        <w:rPr>
          <w:rFonts w:hint="default" w:ascii="Calibri" w:hAnsi="Calibri" w:cs="Calibri"/>
          <w:sz w:val="22"/>
          <w:szCs w:val="22"/>
        </w:rPr>
        <w:t xml:space="preserve">(8), 205–223. </w:t>
      </w:r>
      <w:r>
        <w:rPr>
          <w:rFonts w:hint="default" w:ascii="Calibri" w:hAnsi="Calibri" w:cs="Calibri"/>
          <w:sz w:val="22"/>
          <w:szCs w:val="22"/>
        </w:rPr>
        <w:fldChar w:fldCharType="begin"/>
      </w:r>
      <w:r>
        <w:rPr>
          <w:rFonts w:hint="default" w:ascii="Calibri" w:hAnsi="Calibri" w:cs="Calibri"/>
          <w:sz w:val="22"/>
          <w:szCs w:val="22"/>
        </w:rPr>
        <w:instrText xml:space="preserve"> HYPERLINK "https://revistascientificas.us.es/index.php/araucaria/article/view/1123" \t "_blank" </w:instrText>
      </w:r>
      <w:r>
        <w:rPr>
          <w:rFonts w:hint="default" w:ascii="Calibri" w:hAnsi="Calibri" w:cs="Calibri"/>
          <w:sz w:val="22"/>
          <w:szCs w:val="22"/>
        </w:rPr>
        <w:fldChar w:fldCharType="separate"/>
      </w:r>
      <w:r>
        <w:rPr>
          <w:rStyle w:val="11"/>
          <w:rFonts w:hint="default" w:ascii="Calibri" w:hAnsi="Calibri" w:cs="Calibri"/>
          <w:sz w:val="22"/>
          <w:szCs w:val="22"/>
        </w:rPr>
        <w:t>https://revistascientificas.us.es/index.php/araucaria/article/view/1123</w:t>
      </w:r>
      <w:r>
        <w:rPr>
          <w:rFonts w:hint="default" w:ascii="Calibri" w:hAnsi="Calibri" w:cs="Calibri"/>
          <w:sz w:val="22"/>
          <w:szCs w:val="22"/>
        </w:rPr>
        <w:fldChar w:fldCharType="end"/>
      </w:r>
    </w:p>
    <w:p w14:paraId="6673AD0E">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Huerta, S. E. (2021). “They will live without law or religion”: Cádiz, indigenous people, and political change in the Viceroyalty of Peru, 1812–1820. </w:t>
      </w:r>
      <w:r>
        <w:rPr>
          <w:rFonts w:hint="default" w:ascii="Calibri" w:hAnsi="Calibri" w:cs="Calibri"/>
          <w:i/>
          <w:iCs/>
          <w:sz w:val="22"/>
          <w:szCs w:val="22"/>
        </w:rPr>
        <w:t>Hispanic American Historical Review</w:t>
      </w:r>
      <w:r>
        <w:rPr>
          <w:rFonts w:hint="default" w:ascii="Calibri" w:hAnsi="Calibri" w:cs="Calibri"/>
          <w:sz w:val="22"/>
          <w:szCs w:val="22"/>
        </w:rPr>
        <w:t xml:space="preserve">, </w:t>
      </w:r>
      <w:r>
        <w:rPr>
          <w:rFonts w:hint="default" w:ascii="Calibri" w:hAnsi="Calibri" w:cs="Calibri"/>
          <w:i/>
          <w:iCs/>
          <w:sz w:val="22"/>
          <w:szCs w:val="22"/>
        </w:rPr>
        <w:t>101</w:t>
      </w:r>
      <w:r>
        <w:rPr>
          <w:rFonts w:hint="default" w:ascii="Calibri" w:hAnsi="Calibri" w:cs="Calibri"/>
          <w:sz w:val="22"/>
          <w:szCs w:val="22"/>
        </w:rPr>
        <w:t xml:space="preserve">(2), 199–230.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"https://doi.org/10.1215/00182168-8897464"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https://doi.org/10.1215/00182168-8897464</w:t>
      </w:r>
      <w:r>
        <w:rPr>
          <w:rFonts w:hint="default" w:ascii="Calibri" w:hAnsi="Calibri" w:cs="Calibri"/>
          <w:sz w:val="22"/>
          <w:szCs w:val="22"/>
        </w:rPr>
        <w:fldChar w:fldCharType="end"/>
      </w:r>
    </w:p>
    <w:p w14:paraId="352DB469">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Jalal-Kermele, N. (2011). La mort de Tupac Amaru, l’ultime cataclysme? </w:t>
      </w:r>
      <w:r>
        <w:rPr>
          <w:rFonts w:hint="default" w:ascii="Calibri" w:hAnsi="Calibri" w:cs="Calibri"/>
          <w:i/>
          <w:iCs/>
          <w:sz w:val="22"/>
          <w:szCs w:val="22"/>
        </w:rPr>
        <w:t>E-Spania: Revue électronique d'études hispaniques médiévales</w:t>
      </w:r>
      <w:r>
        <w:rPr>
          <w:rFonts w:hint="default" w:ascii="Calibri" w:hAnsi="Calibri" w:cs="Calibri"/>
          <w:sz w:val="22"/>
          <w:szCs w:val="22"/>
        </w:rPr>
        <w:t xml:space="preserve">, (12). </w:t>
      </w:r>
      <w:r>
        <w:rPr>
          <w:rFonts w:hint="default" w:ascii="Calibri" w:hAnsi="Calibri" w:cs="Calibri"/>
          <w:sz w:val="22"/>
          <w:szCs w:val="22"/>
        </w:rPr>
        <w:fldChar w:fldCharType="begin"/>
      </w:r>
      <w:r>
        <w:rPr>
          <w:rFonts w:hint="default" w:ascii="Calibri" w:hAnsi="Calibri" w:cs="Calibri"/>
          <w:sz w:val="22"/>
          <w:szCs w:val="22"/>
        </w:rPr>
        <w:instrText xml:space="preserve"> HYPERLINK "https://journals.openedition.org/e-spania/21440" \t "_blank" </w:instrText>
      </w:r>
      <w:r>
        <w:rPr>
          <w:rFonts w:hint="default" w:ascii="Calibri" w:hAnsi="Calibri" w:cs="Calibri"/>
          <w:sz w:val="22"/>
          <w:szCs w:val="22"/>
        </w:rPr>
        <w:fldChar w:fldCharType="separate"/>
      </w:r>
      <w:r>
        <w:rPr>
          <w:rStyle w:val="11"/>
          <w:rFonts w:hint="default" w:ascii="Calibri" w:hAnsi="Calibri" w:cs="Calibri"/>
          <w:sz w:val="22"/>
          <w:szCs w:val="22"/>
        </w:rPr>
        <w:t>https://journals.openedition.org/e-spania/21440</w:t>
      </w:r>
      <w:r>
        <w:rPr>
          <w:rFonts w:hint="default" w:ascii="Calibri" w:hAnsi="Calibri" w:cs="Calibri"/>
          <w:sz w:val="22"/>
          <w:szCs w:val="22"/>
        </w:rPr>
        <w:fldChar w:fldCharType="end"/>
      </w:r>
    </w:p>
    <w:p w14:paraId="0D3073A3">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Kanashiro, A. (2021). Micaela Bastidas: Apuntes sobre su conflicto de roles. </w:t>
      </w:r>
      <w:r>
        <w:rPr>
          <w:rFonts w:hint="default" w:ascii="Calibri" w:hAnsi="Calibri" w:cs="Calibri"/>
          <w:i/>
          <w:iCs/>
          <w:sz w:val="22"/>
          <w:szCs w:val="22"/>
        </w:rPr>
        <w:t>Revista Revoluciones</w:t>
      </w:r>
      <w:r>
        <w:rPr>
          <w:rFonts w:hint="default" w:ascii="Calibri" w:hAnsi="Calibri" w:cs="Calibri"/>
          <w:sz w:val="22"/>
          <w:szCs w:val="22"/>
        </w:rPr>
        <w:t xml:space="preserve">, </w:t>
      </w:r>
      <w:r>
        <w:rPr>
          <w:rFonts w:hint="default" w:ascii="Calibri" w:hAnsi="Calibri" w:cs="Calibri"/>
          <w:i/>
          <w:iCs/>
          <w:sz w:val="22"/>
          <w:szCs w:val="22"/>
        </w:rPr>
        <w:t>3</w:t>
      </w:r>
      <w:r>
        <w:rPr>
          <w:rFonts w:hint="default" w:ascii="Calibri" w:hAnsi="Calibri" w:cs="Calibri"/>
          <w:sz w:val="22"/>
          <w:szCs w:val="22"/>
        </w:rPr>
        <w:t xml:space="preserve">(5), 88–105.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"https://doi.org/10.35622/j.rr.2021.05.007"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https://doi.org/10.35622/j.rr.2021.05.007</w:t>
      </w:r>
      <w:r>
        <w:rPr>
          <w:rFonts w:hint="default" w:ascii="Calibri" w:hAnsi="Calibri" w:cs="Calibri"/>
          <w:sz w:val="22"/>
          <w:szCs w:val="22"/>
        </w:rPr>
        <w:fldChar w:fldCharType="end"/>
      </w:r>
    </w:p>
    <w:p w14:paraId="293605E7">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O’Phelan Godoy, S. (2021). La gran rebelión de Túpac Amaru II y la temprana independencia del Perú: Coincidencias, conexiones, contrastes. </w:t>
      </w:r>
      <w:r>
        <w:rPr>
          <w:rFonts w:hint="default" w:ascii="Calibri" w:hAnsi="Calibri" w:cs="Calibri"/>
          <w:i/>
          <w:iCs/>
          <w:sz w:val="22"/>
          <w:szCs w:val="22"/>
        </w:rPr>
        <w:t>Revista del Instituto Riva-Agüero</w:t>
      </w:r>
      <w:r>
        <w:rPr>
          <w:rFonts w:hint="default" w:ascii="Calibri" w:hAnsi="Calibri" w:cs="Calibri"/>
          <w:sz w:val="22"/>
          <w:szCs w:val="22"/>
        </w:rPr>
        <w:t xml:space="preserve">, </w:t>
      </w:r>
      <w:r>
        <w:rPr>
          <w:rFonts w:hint="default" w:ascii="Calibri" w:hAnsi="Calibri" w:cs="Calibri"/>
          <w:i/>
          <w:iCs/>
          <w:sz w:val="22"/>
          <w:szCs w:val="22"/>
        </w:rPr>
        <w:t>6</w:t>
      </w:r>
      <w:r>
        <w:rPr>
          <w:rFonts w:hint="default" w:ascii="Calibri" w:hAnsi="Calibri" w:cs="Calibri"/>
          <w:sz w:val="22"/>
          <w:szCs w:val="22"/>
        </w:rPr>
        <w:t xml:space="preserve">(1), 17–80.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"https://doi.org/10.18800/revistaira.202101.002"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https://doi.org/10.18800/revistaira.202101.002</w:t>
      </w:r>
      <w:r>
        <w:rPr>
          <w:rFonts w:hint="default" w:ascii="Calibri" w:hAnsi="Calibri" w:cs="Calibri"/>
          <w:sz w:val="22"/>
          <w:szCs w:val="22"/>
        </w:rPr>
        <w:fldChar w:fldCharType="end"/>
      </w:r>
    </w:p>
    <w:p w14:paraId="79F3DED4">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O'Phelan, S. (1979). La rebelión de Túpac Amaru: Organización interna, dirigencia y alianzas. </w:t>
      </w:r>
      <w:r>
        <w:rPr>
          <w:rFonts w:hint="default" w:ascii="Calibri" w:hAnsi="Calibri" w:cs="Calibri"/>
          <w:i/>
          <w:iCs/>
          <w:sz w:val="22"/>
          <w:szCs w:val="22"/>
        </w:rPr>
        <w:t>Histórica</w:t>
      </w:r>
      <w:r>
        <w:rPr>
          <w:rFonts w:hint="default" w:ascii="Calibri" w:hAnsi="Calibri" w:cs="Calibri"/>
          <w:sz w:val="22"/>
          <w:szCs w:val="22"/>
        </w:rPr>
        <w:t xml:space="preserve">, </w:t>
      </w:r>
      <w:r>
        <w:rPr>
          <w:rFonts w:hint="default" w:ascii="Calibri" w:hAnsi="Calibri" w:cs="Calibri"/>
          <w:i/>
          <w:iCs/>
          <w:sz w:val="22"/>
          <w:szCs w:val="22"/>
        </w:rPr>
        <w:t>3</w:t>
      </w:r>
      <w:r>
        <w:rPr>
          <w:rFonts w:hint="default" w:ascii="Calibri" w:hAnsi="Calibri" w:cs="Calibri"/>
          <w:sz w:val="22"/>
          <w:szCs w:val="22"/>
        </w:rPr>
        <w:t xml:space="preserve">(2), 89–121.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"https://doi.org/10.18800/historica.197902.005"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https://doi.org/10.18800/historica.197902.005</w:t>
      </w:r>
      <w:r>
        <w:rPr>
          <w:rFonts w:hint="default" w:ascii="Calibri" w:hAnsi="Calibri" w:cs="Calibri"/>
          <w:sz w:val="22"/>
          <w:szCs w:val="22"/>
        </w:rPr>
        <w:fldChar w:fldCharType="end"/>
      </w:r>
    </w:p>
    <w:p w14:paraId="6FB830D7">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Ormeño, C. (2011). El enmascaramiento de la rebelión de Tupac Amaru II. </w:t>
      </w:r>
      <w:r>
        <w:rPr>
          <w:rFonts w:hint="default" w:ascii="Calibri" w:hAnsi="Calibri" w:cs="Calibri"/>
          <w:i/>
          <w:iCs/>
          <w:sz w:val="22"/>
          <w:szCs w:val="22"/>
        </w:rPr>
        <w:t>Sociedad y Equidad: Revista de Humanidades, Ciencias Sociales, Artes y Comunicaciones</w:t>
      </w:r>
      <w:r>
        <w:rPr>
          <w:rFonts w:hint="default" w:ascii="Calibri" w:hAnsi="Calibri" w:cs="Calibri"/>
          <w:sz w:val="22"/>
          <w:szCs w:val="22"/>
        </w:rPr>
        <w:t>, (2), 266–281.</w:t>
      </w:r>
    </w:p>
    <w:p w14:paraId="65AFA66A">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Parodi-Revoredo, D. A., &amp; Uzcátegui-Pacheco, R. A. (2025). La reacción colonial ante la rebelión de Túpac Amaru II en los manuales escolares de Perú (2019-2023). </w:t>
      </w:r>
      <w:r>
        <w:rPr>
          <w:rFonts w:hint="default" w:ascii="Calibri" w:hAnsi="Calibri" w:cs="Calibri"/>
          <w:i/>
          <w:iCs/>
          <w:sz w:val="22"/>
          <w:szCs w:val="22"/>
        </w:rPr>
        <w:t>Izquierdas</w:t>
      </w:r>
      <w:r>
        <w:rPr>
          <w:rFonts w:hint="default" w:ascii="Calibri" w:hAnsi="Calibri" w:cs="Calibri"/>
          <w:sz w:val="22"/>
          <w:szCs w:val="22"/>
        </w:rPr>
        <w:t xml:space="preserve">, (54).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"https://doi.org/10.4067/s0718-50492025000100209"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https://doi.org/10.4067/s0718-50492025000100209</w:t>
      </w:r>
      <w:r>
        <w:rPr>
          <w:rFonts w:hint="default" w:ascii="Calibri" w:hAnsi="Calibri" w:cs="Calibri"/>
          <w:sz w:val="22"/>
          <w:szCs w:val="22"/>
        </w:rPr>
        <w:fldChar w:fldCharType="end"/>
      </w:r>
    </w:p>
    <w:p w14:paraId="47674C96">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Parolo, M. P. (2017). La rebelión de Túpac Amaru. </w:t>
      </w:r>
      <w:r>
        <w:rPr>
          <w:rFonts w:hint="default" w:ascii="Calibri" w:hAnsi="Calibri" w:cs="Calibri"/>
          <w:i/>
          <w:iCs/>
          <w:sz w:val="22"/>
          <w:szCs w:val="22"/>
        </w:rPr>
        <w:t>Travesía</w:t>
      </w:r>
      <w:r>
        <w:rPr>
          <w:rFonts w:hint="default" w:ascii="Calibri" w:hAnsi="Calibri" w:cs="Calibri"/>
          <w:sz w:val="22"/>
          <w:szCs w:val="22"/>
        </w:rPr>
        <w:t xml:space="preserve">, </w:t>
      </w:r>
      <w:r>
        <w:rPr>
          <w:rFonts w:hint="default" w:ascii="Calibri" w:hAnsi="Calibri" w:cs="Calibri"/>
          <w:i/>
          <w:iCs/>
          <w:sz w:val="22"/>
          <w:szCs w:val="22"/>
        </w:rPr>
        <w:t>19</w:t>
      </w:r>
      <w:r>
        <w:rPr>
          <w:rFonts w:hint="default" w:ascii="Calibri" w:hAnsi="Calibri" w:cs="Calibri"/>
          <w:sz w:val="22"/>
          <w:szCs w:val="22"/>
        </w:rPr>
        <w:t>(2), 93–94.</w:t>
      </w:r>
    </w:p>
    <w:p w14:paraId="52DED940">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Pita Pico, R. (2019). Resistencia y reivindicaciones de las mujeres en las guerras de independencia de Colombia: Una aproximación a través de sus cartas y reclamaciones. </w:t>
      </w:r>
      <w:r>
        <w:rPr>
          <w:rFonts w:hint="default" w:ascii="Calibri" w:hAnsi="Calibri" w:cs="Calibri"/>
          <w:i/>
          <w:iCs/>
          <w:sz w:val="22"/>
          <w:szCs w:val="22"/>
        </w:rPr>
        <w:t>Arenal: Revista de Historia de las Mujeres</w:t>
      </w:r>
      <w:r>
        <w:rPr>
          <w:rFonts w:hint="default" w:ascii="Calibri" w:hAnsi="Calibri" w:cs="Calibri"/>
          <w:sz w:val="22"/>
          <w:szCs w:val="22"/>
        </w:rPr>
        <w:t xml:space="preserve">, </w:t>
      </w:r>
      <w:r>
        <w:rPr>
          <w:rFonts w:hint="default" w:ascii="Calibri" w:hAnsi="Calibri" w:cs="Calibri"/>
          <w:i/>
          <w:iCs/>
          <w:sz w:val="22"/>
          <w:szCs w:val="22"/>
        </w:rPr>
        <w:t>26</w:t>
      </w:r>
      <w:r>
        <w:rPr>
          <w:rFonts w:hint="default" w:ascii="Calibri" w:hAnsi="Calibri" w:cs="Calibri"/>
          <w:sz w:val="22"/>
          <w:szCs w:val="22"/>
        </w:rPr>
        <w:t xml:space="preserve">(2), 609–630.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"https://doi.org/10.30827/arenal.v26i2.7857"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https://doi.org/10.30827/arenal.v26i2.7857</w:t>
      </w:r>
      <w:r>
        <w:rPr>
          <w:rFonts w:hint="default" w:ascii="Calibri" w:hAnsi="Calibri" w:cs="Calibri"/>
          <w:sz w:val="22"/>
          <w:szCs w:val="22"/>
        </w:rPr>
        <w:fldChar w:fldCharType="end"/>
      </w:r>
    </w:p>
    <w:p w14:paraId="25C8FA03">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Quichua, D. (2021). “La gente bruta y los pobres miserables” también lucharon: Los indígenas de Huamanga en la Independencia. </w:t>
      </w:r>
      <w:r>
        <w:rPr>
          <w:rFonts w:hint="default" w:ascii="Calibri" w:hAnsi="Calibri" w:cs="Calibri"/>
          <w:i/>
          <w:iCs/>
          <w:sz w:val="22"/>
          <w:szCs w:val="22"/>
        </w:rPr>
        <w:t>Revista Revoluciones</w:t>
      </w:r>
      <w:r>
        <w:rPr>
          <w:rFonts w:hint="default" w:ascii="Calibri" w:hAnsi="Calibri" w:cs="Calibri"/>
          <w:sz w:val="22"/>
          <w:szCs w:val="22"/>
        </w:rPr>
        <w:t xml:space="preserve">, </w:t>
      </w:r>
      <w:r>
        <w:rPr>
          <w:rFonts w:hint="default" w:ascii="Calibri" w:hAnsi="Calibri" w:cs="Calibri"/>
          <w:i/>
          <w:iCs/>
          <w:sz w:val="22"/>
          <w:szCs w:val="22"/>
        </w:rPr>
        <w:t>3</w:t>
      </w:r>
      <w:r>
        <w:rPr>
          <w:rFonts w:hint="default" w:ascii="Calibri" w:hAnsi="Calibri" w:cs="Calibri"/>
          <w:sz w:val="22"/>
          <w:szCs w:val="22"/>
        </w:rPr>
        <w:t xml:space="preserve">(5), 20–41.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"https://doi.org/10.35622/j.rr.2021.05.003" \t "_blank" </w:instrText>
      </w:r>
      <w:r>
        <w:rPr>
          <w:rFonts w:hint="default" w:ascii="Calibri" w:hAnsi="Calibri" w:cs="Calibri"/>
          <w:sz w:val="22"/>
          <w:szCs w:val="22"/>
        </w:rPr>
        <w:fldChar w:fldCharType="separate"/>
      </w:r>
      <w:r>
        <w:rPr>
          <w:rStyle w:val="11"/>
          <w:rFonts w:hint="default" w:ascii="Calibri" w:hAnsi="Calibri" w:cs="Calibri"/>
          <w:sz w:val="22"/>
          <w:szCs w:val="22"/>
        </w:rPr>
        <w:t>https://doi.org/10.35622/j.rr.2021.05.003</w:t>
      </w:r>
      <w:r>
        <w:rPr>
          <w:rFonts w:hint="default" w:ascii="Calibri" w:hAnsi="Calibri" w:cs="Calibri"/>
          <w:sz w:val="22"/>
          <w:szCs w:val="22"/>
        </w:rPr>
        <w:fldChar w:fldCharType="end"/>
      </w:r>
    </w:p>
    <w:p w14:paraId="40403FF9">
      <w:pPr>
        <w:pStyle w:val="19"/>
        <w:keepNext w:val="0"/>
        <w:keepLines w:val="0"/>
        <w:pageBreakBefore w:val="0"/>
        <w:widowControl/>
        <w:suppressLineNumbers w:val="0"/>
        <w:kinsoku/>
        <w:wordWrap/>
        <w:overflowPunct/>
        <w:topLinePunct w:val="0"/>
        <w:autoSpaceDE/>
        <w:autoSpaceDN/>
        <w:bidi w:val="0"/>
        <w:adjustRightInd/>
        <w:snapToGrid/>
        <w:spacing w:before="120" w:beforeAutospacing="0" w:afterAutospacing="0"/>
        <w:ind w:left="720" w:hanging="720"/>
        <w:jc w:val="both"/>
        <w:textAlignment w:val="auto"/>
        <w:rPr>
          <w:rFonts w:hint="default" w:ascii="Calibri" w:hAnsi="Calibri" w:cs="Calibri"/>
          <w:sz w:val="22"/>
          <w:szCs w:val="22"/>
        </w:rPr>
      </w:pPr>
      <w:r>
        <w:rPr>
          <w:rFonts w:hint="default" w:ascii="Calibri" w:hAnsi="Calibri" w:cs="Calibri"/>
          <w:sz w:val="22"/>
          <w:szCs w:val="22"/>
        </w:rPr>
        <w:t xml:space="preserve">Walker, C. (2015). </w:t>
      </w:r>
      <w:r>
        <w:rPr>
          <w:rFonts w:hint="default" w:ascii="Calibri" w:hAnsi="Calibri" w:cs="Calibri"/>
          <w:i/>
          <w:iCs/>
          <w:sz w:val="22"/>
          <w:szCs w:val="22"/>
        </w:rPr>
        <w:t>Tupac Amaru y el bicentenario</w:t>
      </w:r>
      <w:r>
        <w:rPr>
          <w:rFonts w:hint="default" w:ascii="Calibri" w:hAnsi="Calibri" w:cs="Calibri"/>
          <w:sz w:val="22"/>
          <w:szCs w:val="22"/>
        </w:rPr>
        <w:t xml:space="preserve">. Revista Argumentos. </w:t>
      </w:r>
      <w:r>
        <w:rPr>
          <w:rFonts w:hint="default" w:ascii="Calibri" w:hAnsi="Calibri" w:cs="Calibri"/>
          <w:sz w:val="22"/>
          <w:szCs w:val="22"/>
        </w:rPr>
        <w:fldChar w:fldCharType="begin"/>
      </w:r>
      <w:r>
        <w:rPr>
          <w:rFonts w:hint="default" w:ascii="Calibri" w:hAnsi="Calibri" w:cs="Calibri"/>
          <w:sz w:val="22"/>
          <w:szCs w:val="22"/>
        </w:rPr>
        <w:instrText xml:space="preserve"> HYPERLINK "https://argumentos-historico.iep.org.pe/wp-content/uploads/2015/08/WALKER_JULIO15.pdf" \t "_blank" </w:instrText>
      </w:r>
      <w:r>
        <w:rPr>
          <w:rFonts w:hint="default" w:ascii="Calibri" w:hAnsi="Calibri" w:cs="Calibri"/>
          <w:sz w:val="22"/>
          <w:szCs w:val="22"/>
        </w:rPr>
        <w:fldChar w:fldCharType="separate"/>
      </w:r>
      <w:r>
        <w:rPr>
          <w:rStyle w:val="11"/>
          <w:rFonts w:hint="default" w:ascii="Calibri" w:hAnsi="Calibri" w:cs="Calibri"/>
          <w:sz w:val="22"/>
          <w:szCs w:val="22"/>
        </w:rPr>
        <w:t>https://argumentos-historico.iep.org.pe/wp-content/uploads/2015/08/WALKER_JULIO15.pdf</w:t>
      </w:r>
      <w:r>
        <w:rPr>
          <w:rFonts w:hint="default" w:ascii="Calibri" w:hAnsi="Calibri" w:cs="Calibri"/>
          <w:sz w:val="22"/>
          <w:szCs w:val="22"/>
        </w:rPr>
        <w:fldChar w:fldCharType="end"/>
      </w:r>
    </w:p>
    <w:p w14:paraId="31DE9FAB">
      <w:pPr>
        <w:numPr>
          <w:ilvl w:val="0"/>
          <w:numId w:val="0"/>
        </w:numPr>
        <w:spacing w:after="0" w:line="240" w:lineRule="auto"/>
        <w:ind w:leftChars="0"/>
        <w:jc w:val="both"/>
        <w:rPr>
          <w:rFonts w:hint="default" w:ascii="Calibri" w:hAnsi="Calibri" w:cs="Calibri"/>
          <w:color w:val="222222"/>
          <w:sz w:val="22"/>
          <w:szCs w:val="22"/>
          <w:shd w:val="clear" w:color="auto" w:fill="FFFFFF"/>
        </w:rPr>
      </w:pPr>
      <w:r>
        <w:rPr>
          <w:rFonts w:hint="default" w:ascii="Calibri" w:hAnsi="Calibri" w:cs="Calibri"/>
          <w:color w:val="222222"/>
          <w:sz w:val="22"/>
          <w:szCs w:val="22"/>
          <w:shd w:val="clear" w:color="auto" w:fill="FFFFFF"/>
        </w:rPr>
        <w:t xml:space="preserve"> </w:t>
      </w:r>
    </w:p>
    <w:p w14:paraId="7848D5C2">
      <w:pPr>
        <w:pStyle w:val="19"/>
        <w:spacing w:before="120" w:beforeAutospacing="0" w:after="0" w:afterAutospacing="0"/>
        <w:ind w:left="720" w:hanging="720"/>
        <w:jc w:val="both"/>
        <w:rPr>
          <w:rFonts w:asciiTheme="minorHAnsi" w:hAnsiTheme="minorHAnsi"/>
          <w:b/>
          <w:bCs/>
          <w:szCs w:val="20"/>
        </w:rPr>
      </w:pPr>
    </w:p>
    <w:sectPr>
      <w:headerReference r:id="rId6" w:type="first"/>
      <w:footerReference r:id="rId8" w:type="first"/>
      <w:headerReference r:id="rId5" w:type="default"/>
      <w:footerReference r:id="rId7" w:type="default"/>
      <w:pgSz w:w="12240" w:h="15840"/>
      <w:pgMar w:top="357" w:right="1418" w:bottom="227" w:left="1418" w:header="709" w:footer="39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A46">
    <w:pPr>
      <w:pStyle w:val="20"/>
      <w:spacing w:before="60"/>
    </w:pPr>
    <w:r>
      <w:rPr>
        <w:lang w:val="zh-CN" w:eastAsia="zh-CN"/>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-5715</wp:posOffset>
              </wp:positionV>
              <wp:extent cx="5966460" cy="0"/>
              <wp:effectExtent l="0" t="0" r="0" b="0"/>
              <wp:wrapNone/>
              <wp:docPr id="10" name="Conector recto 9"/>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9" o:spid="_x0000_s1026" o:spt="20" style="position:absolute;left:0pt;margin-top:-0.45pt;height:0pt;width:469.8pt;mso-position-horizontal:left;mso-position-horizontal-relative:margin;z-index:251660288;mso-width-relative:page;mso-height-relative:page;" filled="f" stroked="t" coordsize="21600,21600" o:gfxdata="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JxBsXVAAAABAEAAA8A&#10;AAAAAAAAAQAgAAAAIgAAAGRycy9kb3ducmV2LnhtbFBLAQIUABQAAAAIAIdO4kAFe2tH4QEAANMD&#10;AAAOAAAAAAAAAAEAIAAAACQBAABkcnMvZTJvRG9jLnhtbFBLBQYAAAAABgAGAFkBAAB3BQAAAAA=&#10;">
              <v:fill on="f" focussize="0,0"/>
              <v:stroke color="#4A7EBB [3204]" joinstyle="round"/>
              <v:imagedata o:title=""/>
              <o:lock v:ext="edit" aspectratio="f"/>
            </v:line>
          </w:pict>
        </mc:Fallback>
      </mc:AlternateContent>
    </w:r>
    <w:r>
      <w:rPr>
        <w:rFonts w:asciiTheme="majorHAnsi" w:hAnsiTheme="majorHAnsi" w:eastAsiaTheme="majorEastAsia" w:cstheme="majorBidi"/>
        <w:sz w:val="28"/>
        <w:szCs w:val="28"/>
        <w:lang w:val="zh-CN" w:eastAsia="zh-CN"/>
      </w:rPr>
      <mc:AlternateContent>
        <mc:Choice Requires="wps">
          <w:drawing>
            <wp:anchor distT="0" distB="0" distL="114300" distR="114300" simplePos="0" relativeHeight="251661312" behindDoc="0" locked="0" layoutInCell="0" allowOverlap="1">
              <wp:simplePos x="0" y="0"/>
              <wp:positionH relativeFrom="page">
                <wp:posOffset>6526530</wp:posOffset>
              </wp:positionH>
              <wp:positionV relativeFrom="bottomMargin">
                <wp:posOffset>47625</wp:posOffset>
              </wp:positionV>
              <wp:extent cx="323850" cy="323850"/>
              <wp:effectExtent l="0" t="0" r="11430" b="11430"/>
              <wp:wrapNone/>
              <wp:docPr id="11" name="Elipse 16"/>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79B58789">
                          <w:pPr>
                            <w:jc w:val="center"/>
                            <w:rPr>
                              <w:rStyle w:val="12"/>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12"/>
                              <w:b/>
                              <w:bCs/>
                              <w:color w:val="FFFFFF" w:themeColor="background1"/>
                              <w:szCs w:val="24"/>
                              <w:lang w:val="es-ES"/>
                              <w14:textFill>
                                <w14:solidFill>
                                  <w14:schemeClr w14:val="bg1"/>
                                </w14:solidFill>
                              </w14:textFill>
                            </w:rPr>
                            <w:t>8</w:t>
                          </w:r>
                          <w:r>
                            <w:rPr>
                              <w:rStyle w:val="12"/>
                              <w:b/>
                              <w:bCs/>
                              <w:color w:val="FFFFFF" w:themeColor="background1"/>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16" o:spid="_x0000_s1026" o:spt="3" type="#_x0000_t3" style="position:absolute;left:0pt;margin-left:513.9pt;margin-top:748.45pt;height:25.5pt;width:25.5pt;mso-position-horizontal-relative:page;mso-position-vertical-relative:page;z-index:251661312;mso-width-relative:page;mso-height-relative:page;" fillcolor="#00CD23" filled="t" stroked="f" coordsize="21600,21600" o:allowincell="f" o:gfxdata="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X3tXNYAAAAKAQAADwAAAAAAAAABACAA&#10;AAAiAAAAZHJzL2Rvd25yZXYueG1sUEsBAhQAFAAAAAgAh07iQGWPuAIPAgAALQQAAA4AAAAAAAAA&#10;AQAgAAAAJQEAAGRycy9lMm9Eb2MueG1sUEsFBgAAAAAGAAYAWQEAAKYFAAAAAA==&#10;">
              <v:fill on="t" focussize="0,0"/>
              <v:stroke on="f"/>
              <v:imagedata o:title=""/>
              <o:lock v:ext="edit" aspectratio="f"/>
              <v:textbox inset="0mm,1.27mm,0mm,1.27mm">
                <w:txbxContent>
                  <w:p w14:paraId="79B58789">
                    <w:pPr>
                      <w:jc w:val="center"/>
                      <w:rPr>
                        <w:rStyle w:val="12"/>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12"/>
                        <w:b/>
                        <w:bCs/>
                        <w:color w:val="FFFFFF" w:themeColor="background1"/>
                        <w:szCs w:val="24"/>
                        <w:lang w:val="es-ES"/>
                        <w14:textFill>
                          <w14:solidFill>
                            <w14:schemeClr w14:val="bg1"/>
                          </w14:solidFill>
                        </w14:textFill>
                      </w:rPr>
                      <w:t>8</w:t>
                    </w:r>
                    <w:r>
                      <w:rPr>
                        <w:rStyle w:val="12"/>
                        <w:b/>
                        <w:bCs/>
                        <w:color w:val="FFFFFF" w:themeColor="background1"/>
                        <w:szCs w:val="24"/>
                        <w14:textFill>
                          <w14:solidFill>
                            <w14:schemeClr w14:val="bg1"/>
                          </w14:solidFill>
                        </w14:textFill>
                      </w:rPr>
                      <w:fldChar w:fldCharType="end"/>
                    </w:r>
                  </w:p>
                </w:txbxContent>
              </v:textbox>
            </v:shape>
          </w:pict>
        </mc:Fallback>
      </mc:AlternateContent>
    </w:r>
    <w:r>
      <w:rPr>
        <w:lang w:val="zh-CN" w:eastAsia="zh-CN"/>
      </w:rPr>
      <w:drawing>
        <wp:inline distT="0" distB="0" distL="0" distR="0">
          <wp:extent cx="1028065" cy="310515"/>
          <wp:effectExtent l="0" t="0" r="635" b="0"/>
          <wp:docPr id="12"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3"/>
                  <pic:cNvPicPr>
                    <a:picLocks noChangeAspect="1"/>
                  </pic:cNvPicPr>
                </pic:nvPicPr>
                <pic:blipFill>
                  <a:blip r:embed="rId2">
                    <a:extLst>
                      <a:ext uri="{28A0092B-C50C-407E-A947-70E740481C1C}">
                        <a14:useLocalDpi xmlns:a14="http://schemas.microsoft.com/office/drawing/2010/main" val="0"/>
                      </a:ext>
                    </a:extLst>
                  </a:blip>
                  <a:srcRect t="33148" b="36666"/>
                  <a:stretch>
                    <a:fillRect/>
                  </a:stretch>
                </pic:blipFill>
                <pic:spPr>
                  <a:xfrm>
                    <a:off x="0" y="0"/>
                    <a:ext cx="1067486" cy="32226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A4E6">
    <w:pPr>
      <w:spacing w:after="0" w:line="240" w:lineRule="auto"/>
      <w:jc w:val="both"/>
      <w:rPr>
        <w:rFonts w:ascii="Times New Roman" w:hAnsi="Times New Roman" w:cs="Times New Roman"/>
        <w:b/>
        <w:sz w:val="16"/>
        <w:szCs w:val="16"/>
        <w:lang w:val="es-ES"/>
      </w:rPr>
    </w:pPr>
    <w:r>
      <w:rPr>
        <w:rFonts w:asciiTheme="majorHAnsi" w:hAnsiTheme="majorHAnsi" w:eastAsiaTheme="majorEastAsia" w:cstheme="majorBidi"/>
        <w:sz w:val="28"/>
        <w:szCs w:val="28"/>
        <w:lang w:val="zh-CN" w:eastAsia="zh-CN"/>
      </w:rPr>
      <mc:AlternateContent>
        <mc:Choice Requires="wps">
          <w:drawing>
            <wp:anchor distT="0" distB="0" distL="114300" distR="114300" simplePos="0" relativeHeight="251663360" behindDoc="0" locked="0" layoutInCell="0" allowOverlap="1">
              <wp:simplePos x="0" y="0"/>
              <wp:positionH relativeFrom="page">
                <wp:posOffset>6543040</wp:posOffset>
              </wp:positionH>
              <wp:positionV relativeFrom="bottomMargin">
                <wp:posOffset>134620</wp:posOffset>
              </wp:positionV>
              <wp:extent cx="323850" cy="323850"/>
              <wp:effectExtent l="0" t="0" r="11430" b="11430"/>
              <wp:wrapNone/>
              <wp:docPr id="6" name="Elipse 19"/>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7A03A822">
                          <w:pPr>
                            <w:jc w:val="center"/>
                            <w:rPr>
                              <w:rStyle w:val="12"/>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12"/>
                              <w:b/>
                              <w:bCs/>
                              <w:color w:val="FFFFFF" w:themeColor="background1"/>
                              <w:szCs w:val="24"/>
                              <w:lang w:val="es-ES"/>
                              <w14:textFill>
                                <w14:solidFill>
                                  <w14:schemeClr w14:val="bg1"/>
                                </w14:solidFill>
                              </w14:textFill>
                            </w:rPr>
                            <w:t>1</w:t>
                          </w:r>
                          <w:r>
                            <w:rPr>
                              <w:rStyle w:val="12"/>
                              <w:b/>
                              <w:bCs/>
                              <w:color w:val="FFFFFF" w:themeColor="background1"/>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19" o:spid="_x0000_s1026" o:spt="3" type="#_x0000_t3" style="position:absolute;left:0pt;margin-left:515.2pt;margin-top:739.8pt;height:25.5pt;width:25.5pt;mso-position-horizontal-relative:page;mso-position-vertical-relative:page;z-index:251663360;mso-width-relative:page;mso-height-relative:page;" fillcolor="#00CD23" filled="t" stroked="f" coordsize="21600,21600" o:allowincell="f" o:gfxdata="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0rjy1gAAAAsBAAAPAAAAAAAAAAEAIAAA&#10;ACIAAABkcnMvZG93bnJldi54bWxQSwECFAAUAAAACACHTuJAvS6RGA4CAAAsBAAADgAAAAAAAAAB&#10;ACAAAAAlAQAAZHJzL2Uyb0RvYy54bWxQSwUGAAAAAAYABgBZAQAApQUAAAAA&#10;">
              <v:fill on="t" focussize="0,0"/>
              <v:stroke on="f"/>
              <v:imagedata o:title=""/>
              <o:lock v:ext="edit" aspectratio="f"/>
              <v:textbox inset="0mm,1.27mm,0mm,1.27mm">
                <w:txbxContent>
                  <w:p w14:paraId="7A03A822">
                    <w:pPr>
                      <w:jc w:val="center"/>
                      <w:rPr>
                        <w:rStyle w:val="12"/>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12"/>
                        <w:b/>
                        <w:bCs/>
                        <w:color w:val="FFFFFF" w:themeColor="background1"/>
                        <w:szCs w:val="24"/>
                        <w:lang w:val="es-ES"/>
                        <w14:textFill>
                          <w14:solidFill>
                            <w14:schemeClr w14:val="bg1"/>
                          </w14:solidFill>
                        </w14:textFill>
                      </w:rPr>
                      <w:t>1</w:t>
                    </w:r>
                    <w:r>
                      <w:rPr>
                        <w:rStyle w:val="12"/>
                        <w:b/>
                        <w:bCs/>
                        <w:color w:val="FFFFFF" w:themeColor="background1"/>
                        <w:szCs w:val="24"/>
                        <w14:textFill>
                          <w14:solidFill>
                            <w14:schemeClr w14:val="bg1"/>
                          </w14:solidFill>
                        </w14:textFill>
                      </w:rPr>
                      <w:fldChar w:fldCharType="end"/>
                    </w:r>
                  </w:p>
                </w:txbxContent>
              </v:textbox>
            </v:shape>
          </w:pict>
        </mc:Fallback>
      </mc:AlternateContent>
    </w:r>
  </w:p>
  <w:p w14:paraId="14C7D2D1">
    <w:pPr>
      <w:spacing w:after="0" w:line="240" w:lineRule="auto"/>
      <w:jc w:val="right"/>
      <w:rPr>
        <w:rFonts w:cs="Times New Roman" w:asciiTheme="minorHAnsi" w:hAnsiTheme="minorHAnsi"/>
        <w:sz w:val="16"/>
        <w:szCs w:val="16"/>
        <w:lang w:val="es-ES"/>
      </w:rPr>
    </w:pPr>
    <w:r>
      <w:rPr>
        <w:rFonts w:asciiTheme="minorHAnsi" w:hAnsiTheme="minorHAnsi"/>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-41275</wp:posOffset>
              </wp:positionV>
              <wp:extent cx="5966460" cy="0"/>
              <wp:effectExtent l="0" t="5080" r="0" b="4445"/>
              <wp:wrapNone/>
              <wp:docPr id="7" name="Conector recto 11"/>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1" o:spid="_x0000_s1026" o:spt="20" style="position:absolute;left:0pt;margin-left:0pt;margin-top:-3.25pt;height:0pt;width:469.8pt;z-index:251659264;mso-width-relative:page;mso-height-relative:page;" filled="f" stroked="t" coordsize="21600,21600" o:gfxdata="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hqjhnXAAAABgEA&#10;AA8AAAAAAAAAAQAgAAAAIgAAAGRycy9kb3ducmV2LnhtbFBLAQIUABQAAAAIAIdO4kChZtc74gEA&#10;ANMDAAAOAAAAAAAAAAEAIAAAACYBAABkcnMvZTJvRG9jLnhtbFBLBQYAAAAABgAGAFkBAAB6BQAA&#10;AAA=&#10;">
              <v:fill on="f" focussize="0,0"/>
              <v:stroke color="#4A7EBB [3204]" joinstyle="round"/>
              <v:imagedata o:title=""/>
              <o:lock v:ext="edit" aspectratio="f"/>
            </v:line>
          </w:pict>
        </mc:Fallback>
      </mc:AlternateContent>
    </w:r>
  </w:p>
  <w:p w14:paraId="50EF456F">
    <w:pPr>
      <w:spacing w:after="0" w:line="240" w:lineRule="auto"/>
      <w:rPr>
        <w:rFonts w:cs="Times New Roman" w:asciiTheme="minorHAnsi" w:hAnsiTheme="minorHAnsi"/>
        <w:sz w:val="16"/>
        <w:szCs w:val="16"/>
        <w:lang w:val="es-ES"/>
      </w:rPr>
    </w:pPr>
    <w:r>
      <w:rPr>
        <w:rFonts w:cs="Times New Roman" w:asciiTheme="minorHAnsi" w:hAnsiTheme="minorHAnsi"/>
        <w:sz w:val="16"/>
        <w:szCs w:val="16"/>
        <w:lang w:val="es-ES"/>
      </w:rPr>
      <w:drawing>
        <wp:inline distT="0" distB="0" distL="0" distR="0">
          <wp:extent cx="838200" cy="295275"/>
          <wp:effectExtent l="0" t="0" r="0" b="9525"/>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r>
      <w:rPr>
        <w:rFonts w:cs="Times New Roman" w:asciiTheme="minorHAnsi" w:hAnsiTheme="minorHAnsi"/>
        <w:sz w:val="16"/>
        <w:szCs w:val="16"/>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9DDC">
    <w:pPr>
      <w:pStyle w:val="18"/>
      <w:jc w:val="both"/>
      <w:rPr>
        <w:rFonts w:asciiTheme="minorHAnsi" w:hAnsiTheme="minorHAnsi" w:cstheme="minorHAnsi"/>
        <w:sz w:val="16"/>
        <w:szCs w:val="16"/>
      </w:rPr>
    </w:pPr>
    <w:r>
      <w:rPr>
        <w:rFonts w:asciiTheme="minorHAnsi" w:hAnsiTheme="minorHAnsi" w:cstheme="minorHAnsi"/>
        <w:sz w:val="16"/>
        <w:szCs w:val="16"/>
        <w:lang w:val="es-ES" w:eastAsia="zh-CN"/>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376555</wp:posOffset>
              </wp:positionV>
              <wp:extent cx="5984240" cy="5080"/>
              <wp:effectExtent l="0" t="0" r="35560" b="33020"/>
              <wp:wrapNone/>
              <wp:docPr id="18" name="Conector recto 18"/>
              <wp:cNvGraphicFramePr/>
              <a:graphic xmlns:a="http://schemas.openxmlformats.org/drawingml/2006/main">
                <a:graphicData uri="http://schemas.microsoft.com/office/word/2010/wordprocessingShape">
                  <wps:wsp>
                    <wps:cNvCnPr/>
                    <wps:spPr>
                      <a:xfrm flipV="1">
                        <a:off x="0" y="0"/>
                        <a:ext cx="5984240"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top:29.65pt;height:0.4pt;width:471.2pt;mso-position-horizontal:left;mso-position-horizontal-relative:margin;z-index:251664384;mso-width-relative:page;mso-height-relative:page;" filled="f" stroked="t" coordsize="21600,21600" o:gfxdata="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R83NNcAAAAGAQAADwAAAAAAAAABACAAAAAiAAAAZHJzL2Rvd25yZXYueG1sUEsBAhQAFAAAAAgA&#10;h07iQCEzq5vtAQAA4QMAAA4AAAAAAAAAAQAgAAAAJgEAAGRycy9lMm9Eb2MueG1sUEsFBgAAAAAG&#10;AAYAWQEAAIUFAAAAAA==&#10;">
              <v:fill on="f" focussize="0,0"/>
              <v:stroke color="#4A7EBB [3204]" joinstyle="round"/>
              <v:imagedata o:title=""/>
              <o:lock v:ext="edit" aspectratio="f"/>
            </v:line>
          </w:pict>
        </mc:Fallback>
      </mc:AlternateContent>
    </w:r>
    <w:r>
      <w:rPr>
        <w:rFonts w:asciiTheme="minorHAnsi" w:hAnsiTheme="minorHAnsi" w:cstheme="minorHAnsi"/>
        <w:sz w:val="16"/>
        <w:szCs w:val="16"/>
        <w:shd w:val="clear" w:color="auto" w:fill="FFFFFF"/>
      </w:rPr>
      <w:t xml:space="preserve"> Álvarez Ccasa, J. C., Gonzáles Benites, M. T., &amp; Morán Quintanilla, Y. (2026). Determinantes de la gestión del talento humano en el cumplimiento de metas operativas: Una revisión sistemática en el sector saneamiento. </w:t>
    </w:r>
    <w:r>
      <w:rPr>
        <w:rFonts w:asciiTheme="minorHAnsi" w:hAnsiTheme="minorHAnsi" w:cstheme="minorHAnsi"/>
        <w:i/>
        <w:iCs/>
        <w:sz w:val="16"/>
        <w:szCs w:val="16"/>
        <w:shd w:val="clear" w:color="auto" w:fill="FFFFFF"/>
      </w:rPr>
      <w:t>e-Revista Multidisciplinaria Del Saber</w:t>
    </w:r>
    <w:r>
      <w:rPr>
        <w:rFonts w:asciiTheme="minorHAnsi" w:hAnsiTheme="minorHAnsi" w:cstheme="minorHAnsi"/>
        <w:sz w:val="16"/>
        <w:szCs w:val="16"/>
        <w:shd w:val="clear" w:color="auto" w:fill="FFFFFF"/>
      </w:rPr>
      <w:t>, </w:t>
    </w:r>
    <w:r>
      <w:rPr>
        <w:rFonts w:asciiTheme="minorHAnsi" w:hAnsiTheme="minorHAnsi" w:cstheme="minorHAnsi"/>
        <w:i/>
        <w:iCs/>
        <w:sz w:val="16"/>
        <w:szCs w:val="16"/>
        <w:shd w:val="clear" w:color="auto" w:fill="FFFFFF"/>
      </w:rPr>
      <w:t>4</w:t>
    </w:r>
    <w:r>
      <w:rPr>
        <w:rFonts w:asciiTheme="minorHAnsi" w:hAnsiTheme="minorHAnsi" w:cstheme="minorHAnsi"/>
        <w:sz w:val="16"/>
        <w:szCs w:val="16"/>
        <w:shd w:val="clear" w:color="auto" w:fill="FFFFFF"/>
      </w:rPr>
      <w:t xml:space="preserve">, e-RMS02042026. </w:t>
    </w:r>
    <w:r>
      <w:fldChar w:fldCharType="begin"/>
    </w:r>
    <w:r>
      <w:instrText xml:space="preserve"> HYPERLINK "https://doi.org/10.61286/e-rms.v4i.359" </w:instrText>
    </w:r>
    <w:r>
      <w:fldChar w:fldCharType="separate"/>
    </w:r>
    <w:r>
      <w:rPr>
        <w:rStyle w:val="11"/>
        <w:rFonts w:asciiTheme="minorHAnsi" w:hAnsiTheme="minorHAnsi" w:cstheme="minorHAnsi"/>
        <w:sz w:val="16"/>
        <w:szCs w:val="16"/>
        <w:shd w:val="clear" w:color="auto" w:fill="FFFFFF"/>
      </w:rPr>
      <w:t>https://doi.org/10.61286/e-rms.v4i.359</w:t>
    </w:r>
    <w:r>
      <w:rPr>
        <w:rStyle w:val="11"/>
        <w:rFonts w:asciiTheme="minorHAnsi" w:hAnsiTheme="minorHAnsi" w:cstheme="minorHAnsi"/>
        <w:sz w:val="16"/>
        <w:szCs w:val="16"/>
        <w:shd w:val="clear" w:color="auto" w:fill="FFFFF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7EE2">
    <w:pPr>
      <w:pStyle w:val="18"/>
    </w:pPr>
    <w:r>
      <w:rPr>
        <w:lang w:val="zh-CN" w:eastAsia="zh-CN"/>
      </w:rPr>
      <w:drawing>
        <wp:anchor distT="0" distB="0" distL="114300" distR="114300" simplePos="0" relativeHeight="251662336" behindDoc="0" locked="0" layoutInCell="1" allowOverlap="1">
          <wp:simplePos x="0" y="0"/>
          <wp:positionH relativeFrom="page">
            <wp:posOffset>939800</wp:posOffset>
          </wp:positionH>
          <wp:positionV relativeFrom="page">
            <wp:posOffset>492760</wp:posOffset>
          </wp:positionV>
          <wp:extent cx="683895" cy="683895"/>
          <wp:effectExtent l="0" t="0" r="1905" b="190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a:noFill/>
                  <a:ln>
                    <a:noFill/>
                  </a:ln>
                </pic:spPr>
              </pic:pic>
            </a:graphicData>
          </a:graphic>
        </wp:anchor>
      </w:drawing>
    </w:r>
    <w:r>
      <w:rPr>
        <w:lang w:val="zh-CN" w:eastAsia="zh-CN"/>
      </w:rPr>
      <w:drawing>
        <wp:inline distT="0" distB="0" distL="0" distR="0">
          <wp:extent cx="6022975" cy="771525"/>
          <wp:effectExtent l="0" t="0" r="12065" b="5715"/>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23324" cy="77158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12DF9"/>
    <w:multiLevelType w:val="singleLevel"/>
    <w:tmpl w:val="95912DF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0DC73928"/>
    <w:multiLevelType w:val="multilevel"/>
    <w:tmpl w:val="0DC7392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3C47C71"/>
    <w:multiLevelType w:val="multilevel"/>
    <w:tmpl w:val="73C47C71"/>
    <w:lvl w:ilvl="0" w:tentative="0">
      <w:start w:val="1"/>
      <w:numFmt w:val="decimal"/>
      <w:pStyle w:val="40"/>
      <w:lvlText w:val="(%1)"/>
      <w:lvlJc w:val="left"/>
      <w:pPr>
        <w:ind w:left="470" w:hanging="215"/>
      </w:pPr>
      <w:rPr>
        <w:rFonts w:hint="default" w:eastAsia="Times New Roman" w:cs="Times New Roman" w:asciiTheme="minorHAnsi" w:hAnsiTheme="minorHAnsi"/>
        <w:b w:val="0"/>
        <w:bCs w:val="0"/>
        <w:i w:val="0"/>
        <w:iCs w:val="0"/>
        <w:w w:val="99"/>
        <w:position w:val="8"/>
        <w:sz w:val="14"/>
        <w:szCs w:val="15"/>
        <w:lang w:val="es-ES" w:eastAsia="en-US" w:bidi="ar-SA"/>
      </w:rPr>
    </w:lvl>
    <w:lvl w:ilvl="1" w:tentative="0">
      <w:start w:val="0"/>
      <w:numFmt w:val="bullet"/>
      <w:lvlText w:val="•"/>
      <w:lvlJc w:val="left"/>
      <w:pPr>
        <w:ind w:left="1174" w:hanging="215"/>
      </w:pPr>
      <w:rPr>
        <w:rFonts w:hint="default"/>
        <w:lang w:val="es-ES" w:eastAsia="en-US" w:bidi="ar-SA"/>
      </w:rPr>
    </w:lvl>
    <w:lvl w:ilvl="2" w:tentative="0">
      <w:start w:val="0"/>
      <w:numFmt w:val="bullet"/>
      <w:lvlText w:val="•"/>
      <w:lvlJc w:val="left"/>
      <w:pPr>
        <w:ind w:left="1868" w:hanging="215"/>
      </w:pPr>
      <w:rPr>
        <w:rFonts w:hint="default"/>
        <w:lang w:val="es-ES" w:eastAsia="en-US" w:bidi="ar-SA"/>
      </w:rPr>
    </w:lvl>
    <w:lvl w:ilvl="3" w:tentative="0">
      <w:start w:val="0"/>
      <w:numFmt w:val="bullet"/>
      <w:lvlText w:val="•"/>
      <w:lvlJc w:val="left"/>
      <w:pPr>
        <w:ind w:left="2563" w:hanging="215"/>
      </w:pPr>
      <w:rPr>
        <w:rFonts w:hint="default"/>
        <w:lang w:val="es-ES" w:eastAsia="en-US" w:bidi="ar-SA"/>
      </w:rPr>
    </w:lvl>
    <w:lvl w:ilvl="4" w:tentative="0">
      <w:start w:val="0"/>
      <w:numFmt w:val="bullet"/>
      <w:lvlText w:val="•"/>
      <w:lvlJc w:val="left"/>
      <w:pPr>
        <w:ind w:left="3257" w:hanging="215"/>
      </w:pPr>
      <w:rPr>
        <w:rFonts w:hint="default"/>
        <w:lang w:val="es-ES" w:eastAsia="en-US" w:bidi="ar-SA"/>
      </w:rPr>
    </w:lvl>
    <w:lvl w:ilvl="5" w:tentative="0">
      <w:start w:val="0"/>
      <w:numFmt w:val="bullet"/>
      <w:lvlText w:val="•"/>
      <w:lvlJc w:val="left"/>
      <w:pPr>
        <w:ind w:left="3952" w:hanging="215"/>
      </w:pPr>
      <w:rPr>
        <w:rFonts w:hint="default"/>
        <w:lang w:val="es-ES" w:eastAsia="en-US" w:bidi="ar-SA"/>
      </w:rPr>
    </w:lvl>
    <w:lvl w:ilvl="6" w:tentative="0">
      <w:start w:val="0"/>
      <w:numFmt w:val="bullet"/>
      <w:lvlText w:val="•"/>
      <w:lvlJc w:val="left"/>
      <w:pPr>
        <w:ind w:left="4646" w:hanging="215"/>
      </w:pPr>
      <w:rPr>
        <w:rFonts w:hint="default"/>
        <w:lang w:val="es-ES" w:eastAsia="en-US" w:bidi="ar-SA"/>
      </w:rPr>
    </w:lvl>
    <w:lvl w:ilvl="7" w:tentative="0">
      <w:start w:val="0"/>
      <w:numFmt w:val="bullet"/>
      <w:lvlText w:val="•"/>
      <w:lvlJc w:val="left"/>
      <w:pPr>
        <w:ind w:left="5341" w:hanging="215"/>
      </w:pPr>
      <w:rPr>
        <w:rFonts w:hint="default"/>
        <w:lang w:val="es-ES" w:eastAsia="en-US" w:bidi="ar-SA"/>
      </w:rPr>
    </w:lvl>
    <w:lvl w:ilvl="8" w:tentative="0">
      <w:start w:val="0"/>
      <w:numFmt w:val="bullet"/>
      <w:lvlText w:val="•"/>
      <w:lvlJc w:val="left"/>
      <w:pPr>
        <w:ind w:left="6035" w:hanging="215"/>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F6"/>
    <w:rsid w:val="0000292A"/>
    <w:rsid w:val="00015A56"/>
    <w:rsid w:val="00020153"/>
    <w:rsid w:val="00024822"/>
    <w:rsid w:val="00025ECF"/>
    <w:rsid w:val="0003576C"/>
    <w:rsid w:val="00036828"/>
    <w:rsid w:val="00040217"/>
    <w:rsid w:val="00042B25"/>
    <w:rsid w:val="000447F1"/>
    <w:rsid w:val="00045BAB"/>
    <w:rsid w:val="00047D9E"/>
    <w:rsid w:val="000640E7"/>
    <w:rsid w:val="0006471A"/>
    <w:rsid w:val="00064E31"/>
    <w:rsid w:val="00073DF3"/>
    <w:rsid w:val="0007402C"/>
    <w:rsid w:val="00076869"/>
    <w:rsid w:val="00082511"/>
    <w:rsid w:val="00094230"/>
    <w:rsid w:val="000A1906"/>
    <w:rsid w:val="000A24C3"/>
    <w:rsid w:val="000A4BF9"/>
    <w:rsid w:val="000B0A17"/>
    <w:rsid w:val="000B3E8B"/>
    <w:rsid w:val="000B480F"/>
    <w:rsid w:val="000B5A03"/>
    <w:rsid w:val="000B5E56"/>
    <w:rsid w:val="000B7375"/>
    <w:rsid w:val="000C25D9"/>
    <w:rsid w:val="000C2C26"/>
    <w:rsid w:val="000C51F6"/>
    <w:rsid w:val="000D3C5E"/>
    <w:rsid w:val="000D5634"/>
    <w:rsid w:val="000E1DC0"/>
    <w:rsid w:val="000E1F2B"/>
    <w:rsid w:val="000E6900"/>
    <w:rsid w:val="000F51AE"/>
    <w:rsid w:val="000F66E4"/>
    <w:rsid w:val="001024FC"/>
    <w:rsid w:val="001045E7"/>
    <w:rsid w:val="001129D2"/>
    <w:rsid w:val="00131DA8"/>
    <w:rsid w:val="001336D9"/>
    <w:rsid w:val="00136DCE"/>
    <w:rsid w:val="00137907"/>
    <w:rsid w:val="001512E3"/>
    <w:rsid w:val="001518E8"/>
    <w:rsid w:val="00152555"/>
    <w:rsid w:val="0015489F"/>
    <w:rsid w:val="00160633"/>
    <w:rsid w:val="00162311"/>
    <w:rsid w:val="00163A6F"/>
    <w:rsid w:val="00172A27"/>
    <w:rsid w:val="00175885"/>
    <w:rsid w:val="00177A3D"/>
    <w:rsid w:val="00177EBC"/>
    <w:rsid w:val="00181225"/>
    <w:rsid w:val="00183728"/>
    <w:rsid w:val="00187B08"/>
    <w:rsid w:val="0019200F"/>
    <w:rsid w:val="001973D9"/>
    <w:rsid w:val="001A28E0"/>
    <w:rsid w:val="001A323E"/>
    <w:rsid w:val="001A4301"/>
    <w:rsid w:val="001A691D"/>
    <w:rsid w:val="001B288B"/>
    <w:rsid w:val="001C0841"/>
    <w:rsid w:val="001C778C"/>
    <w:rsid w:val="001D2876"/>
    <w:rsid w:val="001E175F"/>
    <w:rsid w:val="001E62C3"/>
    <w:rsid w:val="001E7EAB"/>
    <w:rsid w:val="001F6D77"/>
    <w:rsid w:val="001F7DC8"/>
    <w:rsid w:val="00201C54"/>
    <w:rsid w:val="00202C92"/>
    <w:rsid w:val="00211A26"/>
    <w:rsid w:val="00212902"/>
    <w:rsid w:val="002172C9"/>
    <w:rsid w:val="00221C50"/>
    <w:rsid w:val="00222282"/>
    <w:rsid w:val="00224391"/>
    <w:rsid w:val="00225537"/>
    <w:rsid w:val="00232E08"/>
    <w:rsid w:val="002405FB"/>
    <w:rsid w:val="00244044"/>
    <w:rsid w:val="00244A39"/>
    <w:rsid w:val="002514F4"/>
    <w:rsid w:val="00253834"/>
    <w:rsid w:val="00253CA1"/>
    <w:rsid w:val="00255208"/>
    <w:rsid w:val="00267B36"/>
    <w:rsid w:val="00275B3B"/>
    <w:rsid w:val="00277392"/>
    <w:rsid w:val="002802F1"/>
    <w:rsid w:val="00281C65"/>
    <w:rsid w:val="00287D0B"/>
    <w:rsid w:val="00295C73"/>
    <w:rsid w:val="002A0F68"/>
    <w:rsid w:val="002A42B6"/>
    <w:rsid w:val="002A688C"/>
    <w:rsid w:val="002B1423"/>
    <w:rsid w:val="002C2E43"/>
    <w:rsid w:val="002C5281"/>
    <w:rsid w:val="002C7B60"/>
    <w:rsid w:val="002D0226"/>
    <w:rsid w:val="002D0F94"/>
    <w:rsid w:val="002D262B"/>
    <w:rsid w:val="002D6003"/>
    <w:rsid w:val="002E0EF2"/>
    <w:rsid w:val="002E3A7A"/>
    <w:rsid w:val="002E459F"/>
    <w:rsid w:val="002E6478"/>
    <w:rsid w:val="002F2ADB"/>
    <w:rsid w:val="002F3959"/>
    <w:rsid w:val="002F4EC5"/>
    <w:rsid w:val="00303A4F"/>
    <w:rsid w:val="00312C23"/>
    <w:rsid w:val="0031705E"/>
    <w:rsid w:val="00322F01"/>
    <w:rsid w:val="003254D3"/>
    <w:rsid w:val="00332464"/>
    <w:rsid w:val="0033360A"/>
    <w:rsid w:val="003361C0"/>
    <w:rsid w:val="0033671A"/>
    <w:rsid w:val="00340A27"/>
    <w:rsid w:val="00346218"/>
    <w:rsid w:val="00353FA5"/>
    <w:rsid w:val="00357C47"/>
    <w:rsid w:val="00357EBF"/>
    <w:rsid w:val="003603A0"/>
    <w:rsid w:val="003611F7"/>
    <w:rsid w:val="00370448"/>
    <w:rsid w:val="00371D1C"/>
    <w:rsid w:val="00383EDD"/>
    <w:rsid w:val="003968DD"/>
    <w:rsid w:val="003A2158"/>
    <w:rsid w:val="003A4BF5"/>
    <w:rsid w:val="003A58C9"/>
    <w:rsid w:val="003B2A7F"/>
    <w:rsid w:val="003C0374"/>
    <w:rsid w:val="003C17E3"/>
    <w:rsid w:val="003C1E70"/>
    <w:rsid w:val="003D6078"/>
    <w:rsid w:val="003E5E87"/>
    <w:rsid w:val="003E63CB"/>
    <w:rsid w:val="003E6A0C"/>
    <w:rsid w:val="003F28BD"/>
    <w:rsid w:val="003F570F"/>
    <w:rsid w:val="00403292"/>
    <w:rsid w:val="00404299"/>
    <w:rsid w:val="00411C4F"/>
    <w:rsid w:val="004146DF"/>
    <w:rsid w:val="00420B12"/>
    <w:rsid w:val="00420CBA"/>
    <w:rsid w:val="004249A5"/>
    <w:rsid w:val="00424B12"/>
    <w:rsid w:val="0042747B"/>
    <w:rsid w:val="00436BCE"/>
    <w:rsid w:val="004375F4"/>
    <w:rsid w:val="00442881"/>
    <w:rsid w:val="0044336B"/>
    <w:rsid w:val="00451AEE"/>
    <w:rsid w:val="00453A29"/>
    <w:rsid w:val="004557CC"/>
    <w:rsid w:val="00465C17"/>
    <w:rsid w:val="00467DC9"/>
    <w:rsid w:val="00473EC5"/>
    <w:rsid w:val="00477A83"/>
    <w:rsid w:val="00480D73"/>
    <w:rsid w:val="00481739"/>
    <w:rsid w:val="00484B4C"/>
    <w:rsid w:val="00484FF0"/>
    <w:rsid w:val="00492A92"/>
    <w:rsid w:val="00492ADD"/>
    <w:rsid w:val="004934C9"/>
    <w:rsid w:val="004969EB"/>
    <w:rsid w:val="004A4E4B"/>
    <w:rsid w:val="004A4EA5"/>
    <w:rsid w:val="004A69CA"/>
    <w:rsid w:val="004B05EE"/>
    <w:rsid w:val="004B31E4"/>
    <w:rsid w:val="004B69A2"/>
    <w:rsid w:val="004B69E6"/>
    <w:rsid w:val="004C0041"/>
    <w:rsid w:val="004C5023"/>
    <w:rsid w:val="004D42E7"/>
    <w:rsid w:val="004E14AC"/>
    <w:rsid w:val="004E3286"/>
    <w:rsid w:val="004E33FB"/>
    <w:rsid w:val="004E4D99"/>
    <w:rsid w:val="004F3590"/>
    <w:rsid w:val="004F63A3"/>
    <w:rsid w:val="0050636C"/>
    <w:rsid w:val="00506DB5"/>
    <w:rsid w:val="0051472F"/>
    <w:rsid w:val="0052212A"/>
    <w:rsid w:val="00522214"/>
    <w:rsid w:val="00523AE4"/>
    <w:rsid w:val="00524E72"/>
    <w:rsid w:val="0052791D"/>
    <w:rsid w:val="005343AB"/>
    <w:rsid w:val="005362D3"/>
    <w:rsid w:val="00547CAE"/>
    <w:rsid w:val="00553E5E"/>
    <w:rsid w:val="005606BA"/>
    <w:rsid w:val="0056109D"/>
    <w:rsid w:val="0056420B"/>
    <w:rsid w:val="00566138"/>
    <w:rsid w:val="00571362"/>
    <w:rsid w:val="0057566C"/>
    <w:rsid w:val="005906C2"/>
    <w:rsid w:val="00591C95"/>
    <w:rsid w:val="00594466"/>
    <w:rsid w:val="005A35F5"/>
    <w:rsid w:val="005A6727"/>
    <w:rsid w:val="005B160A"/>
    <w:rsid w:val="005B33FF"/>
    <w:rsid w:val="005C01B9"/>
    <w:rsid w:val="005C0C87"/>
    <w:rsid w:val="005C5965"/>
    <w:rsid w:val="005C78E3"/>
    <w:rsid w:val="005D5E72"/>
    <w:rsid w:val="005F4083"/>
    <w:rsid w:val="005F5858"/>
    <w:rsid w:val="005F6BA3"/>
    <w:rsid w:val="006043B9"/>
    <w:rsid w:val="00605F34"/>
    <w:rsid w:val="006106CE"/>
    <w:rsid w:val="00611277"/>
    <w:rsid w:val="00612263"/>
    <w:rsid w:val="00613EAE"/>
    <w:rsid w:val="0061759B"/>
    <w:rsid w:val="00617B16"/>
    <w:rsid w:val="00620DC8"/>
    <w:rsid w:val="00621F60"/>
    <w:rsid w:val="00624C24"/>
    <w:rsid w:val="00627B82"/>
    <w:rsid w:val="006312AD"/>
    <w:rsid w:val="00632A1D"/>
    <w:rsid w:val="006346F4"/>
    <w:rsid w:val="0063564A"/>
    <w:rsid w:val="0064321F"/>
    <w:rsid w:val="0064795C"/>
    <w:rsid w:val="00647F54"/>
    <w:rsid w:val="006511C3"/>
    <w:rsid w:val="0065179B"/>
    <w:rsid w:val="0065295C"/>
    <w:rsid w:val="00653621"/>
    <w:rsid w:val="00660B71"/>
    <w:rsid w:val="00662142"/>
    <w:rsid w:val="00676EAF"/>
    <w:rsid w:val="00683E68"/>
    <w:rsid w:val="0069468A"/>
    <w:rsid w:val="00696E28"/>
    <w:rsid w:val="006975CA"/>
    <w:rsid w:val="006A1E5A"/>
    <w:rsid w:val="006A633C"/>
    <w:rsid w:val="006B5B38"/>
    <w:rsid w:val="006B6C97"/>
    <w:rsid w:val="006B78AF"/>
    <w:rsid w:val="006E0341"/>
    <w:rsid w:val="006E35DD"/>
    <w:rsid w:val="006E6EDD"/>
    <w:rsid w:val="006F2EAB"/>
    <w:rsid w:val="006F4522"/>
    <w:rsid w:val="006F617D"/>
    <w:rsid w:val="00701B12"/>
    <w:rsid w:val="007045B2"/>
    <w:rsid w:val="00706414"/>
    <w:rsid w:val="00706835"/>
    <w:rsid w:val="00706C48"/>
    <w:rsid w:val="00707B27"/>
    <w:rsid w:val="0071045F"/>
    <w:rsid w:val="0071144E"/>
    <w:rsid w:val="00712D17"/>
    <w:rsid w:val="007151C2"/>
    <w:rsid w:val="00723FA8"/>
    <w:rsid w:val="00725108"/>
    <w:rsid w:val="00726D46"/>
    <w:rsid w:val="00732CD4"/>
    <w:rsid w:val="007360E3"/>
    <w:rsid w:val="007362D9"/>
    <w:rsid w:val="00741EA8"/>
    <w:rsid w:val="0074536E"/>
    <w:rsid w:val="007518AC"/>
    <w:rsid w:val="0075367E"/>
    <w:rsid w:val="00756CB4"/>
    <w:rsid w:val="00763DDE"/>
    <w:rsid w:val="00764B55"/>
    <w:rsid w:val="00775E03"/>
    <w:rsid w:val="00784554"/>
    <w:rsid w:val="007865C8"/>
    <w:rsid w:val="007905CF"/>
    <w:rsid w:val="007925DA"/>
    <w:rsid w:val="0079483D"/>
    <w:rsid w:val="00795E83"/>
    <w:rsid w:val="00797AA6"/>
    <w:rsid w:val="007A1CFE"/>
    <w:rsid w:val="007A5FC8"/>
    <w:rsid w:val="007A7CAC"/>
    <w:rsid w:val="007B1115"/>
    <w:rsid w:val="007B185F"/>
    <w:rsid w:val="007B449D"/>
    <w:rsid w:val="007B77DA"/>
    <w:rsid w:val="007B78AC"/>
    <w:rsid w:val="007C56C4"/>
    <w:rsid w:val="007C606F"/>
    <w:rsid w:val="007D49A6"/>
    <w:rsid w:val="007D581E"/>
    <w:rsid w:val="007E69BD"/>
    <w:rsid w:val="007F274A"/>
    <w:rsid w:val="007F2CA0"/>
    <w:rsid w:val="007F5AAB"/>
    <w:rsid w:val="007F678B"/>
    <w:rsid w:val="00812107"/>
    <w:rsid w:val="0081266C"/>
    <w:rsid w:val="00812CF3"/>
    <w:rsid w:val="00816175"/>
    <w:rsid w:val="008168A0"/>
    <w:rsid w:val="00816D88"/>
    <w:rsid w:val="00820625"/>
    <w:rsid w:val="008219CF"/>
    <w:rsid w:val="00822BE0"/>
    <w:rsid w:val="00824BE3"/>
    <w:rsid w:val="00830756"/>
    <w:rsid w:val="00834664"/>
    <w:rsid w:val="00835C33"/>
    <w:rsid w:val="00836880"/>
    <w:rsid w:val="00837067"/>
    <w:rsid w:val="00841D1B"/>
    <w:rsid w:val="00843974"/>
    <w:rsid w:val="008538CE"/>
    <w:rsid w:val="008538FC"/>
    <w:rsid w:val="00855420"/>
    <w:rsid w:val="00856D75"/>
    <w:rsid w:val="0086120D"/>
    <w:rsid w:val="00866562"/>
    <w:rsid w:val="008675AC"/>
    <w:rsid w:val="00870C3C"/>
    <w:rsid w:val="00871CA0"/>
    <w:rsid w:val="008734C3"/>
    <w:rsid w:val="00874FAC"/>
    <w:rsid w:val="00891A69"/>
    <w:rsid w:val="00892B5B"/>
    <w:rsid w:val="0089306D"/>
    <w:rsid w:val="008950C5"/>
    <w:rsid w:val="008A02A6"/>
    <w:rsid w:val="008A78D4"/>
    <w:rsid w:val="008B0390"/>
    <w:rsid w:val="008B1411"/>
    <w:rsid w:val="008B1E31"/>
    <w:rsid w:val="008B241D"/>
    <w:rsid w:val="008B3908"/>
    <w:rsid w:val="008B68B0"/>
    <w:rsid w:val="008C0A9B"/>
    <w:rsid w:val="008C36A6"/>
    <w:rsid w:val="008C48CF"/>
    <w:rsid w:val="008C5FA6"/>
    <w:rsid w:val="008C7E5B"/>
    <w:rsid w:val="008D170D"/>
    <w:rsid w:val="008D6508"/>
    <w:rsid w:val="008E24F6"/>
    <w:rsid w:val="008E34E9"/>
    <w:rsid w:val="008E7C73"/>
    <w:rsid w:val="008F00F8"/>
    <w:rsid w:val="008F0932"/>
    <w:rsid w:val="008F6496"/>
    <w:rsid w:val="00901C2F"/>
    <w:rsid w:val="009050E1"/>
    <w:rsid w:val="00917185"/>
    <w:rsid w:val="00921395"/>
    <w:rsid w:val="00921685"/>
    <w:rsid w:val="00926640"/>
    <w:rsid w:val="00933E8F"/>
    <w:rsid w:val="009365F6"/>
    <w:rsid w:val="0094066C"/>
    <w:rsid w:val="009436E6"/>
    <w:rsid w:val="00952347"/>
    <w:rsid w:val="00953011"/>
    <w:rsid w:val="00960A91"/>
    <w:rsid w:val="00961A69"/>
    <w:rsid w:val="00962B8E"/>
    <w:rsid w:val="0096320D"/>
    <w:rsid w:val="009717BF"/>
    <w:rsid w:val="00972131"/>
    <w:rsid w:val="00972B32"/>
    <w:rsid w:val="00975254"/>
    <w:rsid w:val="00982D38"/>
    <w:rsid w:val="00990B96"/>
    <w:rsid w:val="009923A6"/>
    <w:rsid w:val="00995528"/>
    <w:rsid w:val="009958F1"/>
    <w:rsid w:val="009A43BC"/>
    <w:rsid w:val="009A5C0B"/>
    <w:rsid w:val="009B1868"/>
    <w:rsid w:val="009B1B01"/>
    <w:rsid w:val="009C1219"/>
    <w:rsid w:val="009C453D"/>
    <w:rsid w:val="009D0DCE"/>
    <w:rsid w:val="009D6164"/>
    <w:rsid w:val="009D703D"/>
    <w:rsid w:val="009D733A"/>
    <w:rsid w:val="009D7458"/>
    <w:rsid w:val="009F3182"/>
    <w:rsid w:val="009F5BDA"/>
    <w:rsid w:val="00A061F8"/>
    <w:rsid w:val="00A14755"/>
    <w:rsid w:val="00A23B12"/>
    <w:rsid w:val="00A25741"/>
    <w:rsid w:val="00A25AB0"/>
    <w:rsid w:val="00A26BBC"/>
    <w:rsid w:val="00A27150"/>
    <w:rsid w:val="00A336CB"/>
    <w:rsid w:val="00A36EA7"/>
    <w:rsid w:val="00A41D59"/>
    <w:rsid w:val="00A45705"/>
    <w:rsid w:val="00A5171C"/>
    <w:rsid w:val="00A535E4"/>
    <w:rsid w:val="00A53C8B"/>
    <w:rsid w:val="00A62571"/>
    <w:rsid w:val="00A659D7"/>
    <w:rsid w:val="00A70F58"/>
    <w:rsid w:val="00A7184F"/>
    <w:rsid w:val="00A729EB"/>
    <w:rsid w:val="00A72FD5"/>
    <w:rsid w:val="00A75BCB"/>
    <w:rsid w:val="00A81938"/>
    <w:rsid w:val="00A85421"/>
    <w:rsid w:val="00A85435"/>
    <w:rsid w:val="00A85A68"/>
    <w:rsid w:val="00A9106F"/>
    <w:rsid w:val="00A94150"/>
    <w:rsid w:val="00A9514D"/>
    <w:rsid w:val="00A96F16"/>
    <w:rsid w:val="00A976E3"/>
    <w:rsid w:val="00AA5DB7"/>
    <w:rsid w:val="00AA6F04"/>
    <w:rsid w:val="00AB1A15"/>
    <w:rsid w:val="00AB2E3A"/>
    <w:rsid w:val="00AC2C05"/>
    <w:rsid w:val="00AE44F1"/>
    <w:rsid w:val="00AE6108"/>
    <w:rsid w:val="00AE6A8E"/>
    <w:rsid w:val="00B03556"/>
    <w:rsid w:val="00B051F7"/>
    <w:rsid w:val="00B06626"/>
    <w:rsid w:val="00B11453"/>
    <w:rsid w:val="00B13157"/>
    <w:rsid w:val="00B1368B"/>
    <w:rsid w:val="00B17555"/>
    <w:rsid w:val="00B21F80"/>
    <w:rsid w:val="00B256AA"/>
    <w:rsid w:val="00B2603A"/>
    <w:rsid w:val="00B30963"/>
    <w:rsid w:val="00B34D75"/>
    <w:rsid w:val="00B35F5B"/>
    <w:rsid w:val="00B370CF"/>
    <w:rsid w:val="00B508CF"/>
    <w:rsid w:val="00B51E1C"/>
    <w:rsid w:val="00B547AC"/>
    <w:rsid w:val="00B61736"/>
    <w:rsid w:val="00B65649"/>
    <w:rsid w:val="00B70402"/>
    <w:rsid w:val="00B7114F"/>
    <w:rsid w:val="00B71D18"/>
    <w:rsid w:val="00B732DD"/>
    <w:rsid w:val="00B80BAA"/>
    <w:rsid w:val="00B81330"/>
    <w:rsid w:val="00B84EEC"/>
    <w:rsid w:val="00B86592"/>
    <w:rsid w:val="00B908C1"/>
    <w:rsid w:val="00BA03FE"/>
    <w:rsid w:val="00BA4755"/>
    <w:rsid w:val="00BB0757"/>
    <w:rsid w:val="00BB2BB4"/>
    <w:rsid w:val="00BB4EEC"/>
    <w:rsid w:val="00BB544D"/>
    <w:rsid w:val="00BC455B"/>
    <w:rsid w:val="00BD20D2"/>
    <w:rsid w:val="00BD4CC4"/>
    <w:rsid w:val="00BD508A"/>
    <w:rsid w:val="00BD5B39"/>
    <w:rsid w:val="00BD6122"/>
    <w:rsid w:val="00BD6209"/>
    <w:rsid w:val="00BD73C8"/>
    <w:rsid w:val="00BE46D9"/>
    <w:rsid w:val="00BE47EF"/>
    <w:rsid w:val="00BE7AFC"/>
    <w:rsid w:val="00BF40BA"/>
    <w:rsid w:val="00C022B4"/>
    <w:rsid w:val="00C052A1"/>
    <w:rsid w:val="00C10CEC"/>
    <w:rsid w:val="00C11CCB"/>
    <w:rsid w:val="00C123F9"/>
    <w:rsid w:val="00C13782"/>
    <w:rsid w:val="00C15CBE"/>
    <w:rsid w:val="00C240D3"/>
    <w:rsid w:val="00C25597"/>
    <w:rsid w:val="00C308C5"/>
    <w:rsid w:val="00C317A4"/>
    <w:rsid w:val="00C32E87"/>
    <w:rsid w:val="00C41D47"/>
    <w:rsid w:val="00C44B26"/>
    <w:rsid w:val="00C552A1"/>
    <w:rsid w:val="00C659F1"/>
    <w:rsid w:val="00C665B7"/>
    <w:rsid w:val="00C7544E"/>
    <w:rsid w:val="00C845C0"/>
    <w:rsid w:val="00C8567D"/>
    <w:rsid w:val="00C85700"/>
    <w:rsid w:val="00C86182"/>
    <w:rsid w:val="00C872E0"/>
    <w:rsid w:val="00C956CD"/>
    <w:rsid w:val="00CA546D"/>
    <w:rsid w:val="00CA549E"/>
    <w:rsid w:val="00CB1497"/>
    <w:rsid w:val="00CB15CA"/>
    <w:rsid w:val="00CB413C"/>
    <w:rsid w:val="00CB5243"/>
    <w:rsid w:val="00CB6094"/>
    <w:rsid w:val="00CC1935"/>
    <w:rsid w:val="00CD1D10"/>
    <w:rsid w:val="00CD32ED"/>
    <w:rsid w:val="00CD59E6"/>
    <w:rsid w:val="00CE0025"/>
    <w:rsid w:val="00CE0A29"/>
    <w:rsid w:val="00CE0D69"/>
    <w:rsid w:val="00CE2A20"/>
    <w:rsid w:val="00CE6CE1"/>
    <w:rsid w:val="00CF35BC"/>
    <w:rsid w:val="00CF481A"/>
    <w:rsid w:val="00CF5F57"/>
    <w:rsid w:val="00D078F7"/>
    <w:rsid w:val="00D16A7C"/>
    <w:rsid w:val="00D16AFA"/>
    <w:rsid w:val="00D2137B"/>
    <w:rsid w:val="00D2544D"/>
    <w:rsid w:val="00D25A8F"/>
    <w:rsid w:val="00D25DD3"/>
    <w:rsid w:val="00D26DC6"/>
    <w:rsid w:val="00D270B3"/>
    <w:rsid w:val="00D27E19"/>
    <w:rsid w:val="00D30542"/>
    <w:rsid w:val="00D33D86"/>
    <w:rsid w:val="00D35392"/>
    <w:rsid w:val="00D3649D"/>
    <w:rsid w:val="00D507C8"/>
    <w:rsid w:val="00D55B0F"/>
    <w:rsid w:val="00D5703B"/>
    <w:rsid w:val="00D5722F"/>
    <w:rsid w:val="00D62277"/>
    <w:rsid w:val="00D622C6"/>
    <w:rsid w:val="00D64207"/>
    <w:rsid w:val="00D7270F"/>
    <w:rsid w:val="00D73333"/>
    <w:rsid w:val="00D76323"/>
    <w:rsid w:val="00D8098C"/>
    <w:rsid w:val="00D827DB"/>
    <w:rsid w:val="00D85677"/>
    <w:rsid w:val="00D86098"/>
    <w:rsid w:val="00D866C5"/>
    <w:rsid w:val="00D867B1"/>
    <w:rsid w:val="00D91444"/>
    <w:rsid w:val="00D94278"/>
    <w:rsid w:val="00D94A44"/>
    <w:rsid w:val="00DA04F8"/>
    <w:rsid w:val="00DA07BF"/>
    <w:rsid w:val="00DA25BD"/>
    <w:rsid w:val="00DA3408"/>
    <w:rsid w:val="00DA4A71"/>
    <w:rsid w:val="00DA5F8A"/>
    <w:rsid w:val="00DB0093"/>
    <w:rsid w:val="00DB0378"/>
    <w:rsid w:val="00DB1F59"/>
    <w:rsid w:val="00DB22A2"/>
    <w:rsid w:val="00DB28AC"/>
    <w:rsid w:val="00DB2F9D"/>
    <w:rsid w:val="00DB3321"/>
    <w:rsid w:val="00DB7406"/>
    <w:rsid w:val="00DB7D89"/>
    <w:rsid w:val="00DC0E1F"/>
    <w:rsid w:val="00DC2CA8"/>
    <w:rsid w:val="00DD2581"/>
    <w:rsid w:val="00DD3EEB"/>
    <w:rsid w:val="00DD6E34"/>
    <w:rsid w:val="00DD6ECA"/>
    <w:rsid w:val="00DE28A7"/>
    <w:rsid w:val="00DE6924"/>
    <w:rsid w:val="00DF0698"/>
    <w:rsid w:val="00DF1E22"/>
    <w:rsid w:val="00DF25AA"/>
    <w:rsid w:val="00DF476C"/>
    <w:rsid w:val="00DF613A"/>
    <w:rsid w:val="00DF6EB0"/>
    <w:rsid w:val="00DF7271"/>
    <w:rsid w:val="00E02850"/>
    <w:rsid w:val="00E059FB"/>
    <w:rsid w:val="00E06080"/>
    <w:rsid w:val="00E137BA"/>
    <w:rsid w:val="00E13E1C"/>
    <w:rsid w:val="00E14879"/>
    <w:rsid w:val="00E14E73"/>
    <w:rsid w:val="00E1738C"/>
    <w:rsid w:val="00E2243D"/>
    <w:rsid w:val="00E238ED"/>
    <w:rsid w:val="00E279FD"/>
    <w:rsid w:val="00E27B41"/>
    <w:rsid w:val="00E35FFE"/>
    <w:rsid w:val="00E4398C"/>
    <w:rsid w:val="00E505EF"/>
    <w:rsid w:val="00E51E08"/>
    <w:rsid w:val="00E5763E"/>
    <w:rsid w:val="00E57EBF"/>
    <w:rsid w:val="00E61A69"/>
    <w:rsid w:val="00E62688"/>
    <w:rsid w:val="00E62DCF"/>
    <w:rsid w:val="00E66C4D"/>
    <w:rsid w:val="00E66E84"/>
    <w:rsid w:val="00E67D08"/>
    <w:rsid w:val="00E67F71"/>
    <w:rsid w:val="00E72560"/>
    <w:rsid w:val="00E74800"/>
    <w:rsid w:val="00E75922"/>
    <w:rsid w:val="00E85BE6"/>
    <w:rsid w:val="00E87B8A"/>
    <w:rsid w:val="00E87BD4"/>
    <w:rsid w:val="00E900F4"/>
    <w:rsid w:val="00E904F3"/>
    <w:rsid w:val="00E92C33"/>
    <w:rsid w:val="00E96722"/>
    <w:rsid w:val="00E97054"/>
    <w:rsid w:val="00E97C06"/>
    <w:rsid w:val="00EA27F9"/>
    <w:rsid w:val="00EA3A93"/>
    <w:rsid w:val="00EA4450"/>
    <w:rsid w:val="00EB32A7"/>
    <w:rsid w:val="00EB78FE"/>
    <w:rsid w:val="00ED04B5"/>
    <w:rsid w:val="00ED05F1"/>
    <w:rsid w:val="00ED2568"/>
    <w:rsid w:val="00ED2D54"/>
    <w:rsid w:val="00ED62D1"/>
    <w:rsid w:val="00EE5C6E"/>
    <w:rsid w:val="00EF0520"/>
    <w:rsid w:val="00EF479F"/>
    <w:rsid w:val="00F00CA2"/>
    <w:rsid w:val="00F176EA"/>
    <w:rsid w:val="00F17741"/>
    <w:rsid w:val="00F17A05"/>
    <w:rsid w:val="00F20BE1"/>
    <w:rsid w:val="00F34029"/>
    <w:rsid w:val="00F3625C"/>
    <w:rsid w:val="00F37C1B"/>
    <w:rsid w:val="00F435B5"/>
    <w:rsid w:val="00F507F5"/>
    <w:rsid w:val="00F50C6D"/>
    <w:rsid w:val="00F613BA"/>
    <w:rsid w:val="00F66E2F"/>
    <w:rsid w:val="00F7149A"/>
    <w:rsid w:val="00F74BDD"/>
    <w:rsid w:val="00F75155"/>
    <w:rsid w:val="00F7592C"/>
    <w:rsid w:val="00F76C97"/>
    <w:rsid w:val="00F7700C"/>
    <w:rsid w:val="00F7730A"/>
    <w:rsid w:val="00F815C2"/>
    <w:rsid w:val="00F82373"/>
    <w:rsid w:val="00F8297F"/>
    <w:rsid w:val="00F831D8"/>
    <w:rsid w:val="00F83484"/>
    <w:rsid w:val="00F865CD"/>
    <w:rsid w:val="00F93EF0"/>
    <w:rsid w:val="00F962E1"/>
    <w:rsid w:val="00F97BEE"/>
    <w:rsid w:val="00FA20EC"/>
    <w:rsid w:val="00FB1472"/>
    <w:rsid w:val="00FB309B"/>
    <w:rsid w:val="00FC103A"/>
    <w:rsid w:val="00FC24EC"/>
    <w:rsid w:val="00FC414C"/>
    <w:rsid w:val="00FC61BA"/>
    <w:rsid w:val="00FD0F0A"/>
    <w:rsid w:val="00FD3865"/>
    <w:rsid w:val="00FD393A"/>
    <w:rsid w:val="00FD4DB5"/>
    <w:rsid w:val="00FD5787"/>
    <w:rsid w:val="00FE3E0C"/>
    <w:rsid w:val="00FE4557"/>
    <w:rsid w:val="00FE4C48"/>
    <w:rsid w:val="00FE4FF5"/>
    <w:rsid w:val="00FF4042"/>
    <w:rsid w:val="01072840"/>
    <w:rsid w:val="0123016A"/>
    <w:rsid w:val="019D1E78"/>
    <w:rsid w:val="02061D0C"/>
    <w:rsid w:val="02681163"/>
    <w:rsid w:val="02A255CF"/>
    <w:rsid w:val="02CD6F6B"/>
    <w:rsid w:val="03032A4D"/>
    <w:rsid w:val="03416E2C"/>
    <w:rsid w:val="03EC2655"/>
    <w:rsid w:val="04F876E8"/>
    <w:rsid w:val="05176E59"/>
    <w:rsid w:val="05963833"/>
    <w:rsid w:val="05E91C83"/>
    <w:rsid w:val="061C692E"/>
    <w:rsid w:val="0623371F"/>
    <w:rsid w:val="064E5FFA"/>
    <w:rsid w:val="078F08E6"/>
    <w:rsid w:val="079D5889"/>
    <w:rsid w:val="07C147C6"/>
    <w:rsid w:val="07DC2DF1"/>
    <w:rsid w:val="08402B15"/>
    <w:rsid w:val="084B048A"/>
    <w:rsid w:val="084F3BC1"/>
    <w:rsid w:val="0911305E"/>
    <w:rsid w:val="09D47AB5"/>
    <w:rsid w:val="09D92A96"/>
    <w:rsid w:val="0AE36CDD"/>
    <w:rsid w:val="0B2A7348"/>
    <w:rsid w:val="0B4E021A"/>
    <w:rsid w:val="0B58481B"/>
    <w:rsid w:val="0BAC2C8F"/>
    <w:rsid w:val="0BEB6638"/>
    <w:rsid w:val="0BEC0FB0"/>
    <w:rsid w:val="0C5F36A0"/>
    <w:rsid w:val="0C777BE1"/>
    <w:rsid w:val="0CA32AED"/>
    <w:rsid w:val="0CCE5720"/>
    <w:rsid w:val="0D3338EF"/>
    <w:rsid w:val="0D3516D8"/>
    <w:rsid w:val="0DCB05E4"/>
    <w:rsid w:val="0DCB3545"/>
    <w:rsid w:val="0E092C26"/>
    <w:rsid w:val="0E5719AC"/>
    <w:rsid w:val="0EA02E79"/>
    <w:rsid w:val="0F5D6120"/>
    <w:rsid w:val="10515C17"/>
    <w:rsid w:val="10631328"/>
    <w:rsid w:val="109D63FC"/>
    <w:rsid w:val="10A07FF3"/>
    <w:rsid w:val="11AB585A"/>
    <w:rsid w:val="11E151EC"/>
    <w:rsid w:val="13CC673D"/>
    <w:rsid w:val="13E34020"/>
    <w:rsid w:val="14382AF5"/>
    <w:rsid w:val="154F17FE"/>
    <w:rsid w:val="15BE3E41"/>
    <w:rsid w:val="15D06FEF"/>
    <w:rsid w:val="17330ABC"/>
    <w:rsid w:val="17394A28"/>
    <w:rsid w:val="173D6E5E"/>
    <w:rsid w:val="17454BDC"/>
    <w:rsid w:val="17517FFB"/>
    <w:rsid w:val="17A9019B"/>
    <w:rsid w:val="17B50B24"/>
    <w:rsid w:val="17DA45B1"/>
    <w:rsid w:val="18DF73E8"/>
    <w:rsid w:val="197A7E49"/>
    <w:rsid w:val="19B108EA"/>
    <w:rsid w:val="19EF056A"/>
    <w:rsid w:val="1A1658ED"/>
    <w:rsid w:val="1A5C7310"/>
    <w:rsid w:val="1A696D42"/>
    <w:rsid w:val="1C1A2D90"/>
    <w:rsid w:val="1C3A0FB0"/>
    <w:rsid w:val="1C58188D"/>
    <w:rsid w:val="1C751F64"/>
    <w:rsid w:val="1CCC6230"/>
    <w:rsid w:val="1D141108"/>
    <w:rsid w:val="1DAB515A"/>
    <w:rsid w:val="1E117526"/>
    <w:rsid w:val="1EE47F3C"/>
    <w:rsid w:val="1F8832D3"/>
    <w:rsid w:val="1FB1751D"/>
    <w:rsid w:val="1FC4484B"/>
    <w:rsid w:val="20201EC2"/>
    <w:rsid w:val="202B0253"/>
    <w:rsid w:val="20B56ABB"/>
    <w:rsid w:val="21CE62AA"/>
    <w:rsid w:val="21EE663B"/>
    <w:rsid w:val="221E17C3"/>
    <w:rsid w:val="226466B1"/>
    <w:rsid w:val="22E06A62"/>
    <w:rsid w:val="23386898"/>
    <w:rsid w:val="23674E27"/>
    <w:rsid w:val="259F09CC"/>
    <w:rsid w:val="25DB2266"/>
    <w:rsid w:val="25E95B58"/>
    <w:rsid w:val="270E11CB"/>
    <w:rsid w:val="277F117F"/>
    <w:rsid w:val="27C63E8F"/>
    <w:rsid w:val="28E26DFF"/>
    <w:rsid w:val="28ED188F"/>
    <w:rsid w:val="293B3E65"/>
    <w:rsid w:val="296343E4"/>
    <w:rsid w:val="29C83860"/>
    <w:rsid w:val="2A1A4970"/>
    <w:rsid w:val="2A1F51C5"/>
    <w:rsid w:val="2AE25969"/>
    <w:rsid w:val="2B35340D"/>
    <w:rsid w:val="2B727C26"/>
    <w:rsid w:val="2BC569D9"/>
    <w:rsid w:val="2BD8717A"/>
    <w:rsid w:val="2D765143"/>
    <w:rsid w:val="2DAD667A"/>
    <w:rsid w:val="2DBE7952"/>
    <w:rsid w:val="2DDC3202"/>
    <w:rsid w:val="2EC62080"/>
    <w:rsid w:val="2ECE4FDA"/>
    <w:rsid w:val="2ED36EE3"/>
    <w:rsid w:val="2EFE705D"/>
    <w:rsid w:val="2F8C1ED1"/>
    <w:rsid w:val="2FE6448A"/>
    <w:rsid w:val="302B7B04"/>
    <w:rsid w:val="30EB225D"/>
    <w:rsid w:val="31465714"/>
    <w:rsid w:val="31EC2AA8"/>
    <w:rsid w:val="32E77514"/>
    <w:rsid w:val="33B64D72"/>
    <w:rsid w:val="33CB7B6C"/>
    <w:rsid w:val="34241BD4"/>
    <w:rsid w:val="348D1F43"/>
    <w:rsid w:val="349B45FD"/>
    <w:rsid w:val="35565314"/>
    <w:rsid w:val="359B4CAC"/>
    <w:rsid w:val="35F5319C"/>
    <w:rsid w:val="361374C5"/>
    <w:rsid w:val="36C843DD"/>
    <w:rsid w:val="370F216E"/>
    <w:rsid w:val="3710324E"/>
    <w:rsid w:val="3720250A"/>
    <w:rsid w:val="37C76E81"/>
    <w:rsid w:val="387A3DF1"/>
    <w:rsid w:val="389E6B6E"/>
    <w:rsid w:val="39416F95"/>
    <w:rsid w:val="39545ACE"/>
    <w:rsid w:val="397F3598"/>
    <w:rsid w:val="3A0A3CDA"/>
    <w:rsid w:val="3A0F7763"/>
    <w:rsid w:val="3A6422E4"/>
    <w:rsid w:val="3B4B0D56"/>
    <w:rsid w:val="3B8A781E"/>
    <w:rsid w:val="3BA92612"/>
    <w:rsid w:val="3C3D7F7A"/>
    <w:rsid w:val="3C636CAC"/>
    <w:rsid w:val="3D1753B2"/>
    <w:rsid w:val="3D54720B"/>
    <w:rsid w:val="3F99601A"/>
    <w:rsid w:val="3FD85E5F"/>
    <w:rsid w:val="3FFF5C4F"/>
    <w:rsid w:val="40436823"/>
    <w:rsid w:val="4046132B"/>
    <w:rsid w:val="409C0758"/>
    <w:rsid w:val="40C739F3"/>
    <w:rsid w:val="42CB6BCE"/>
    <w:rsid w:val="432021DB"/>
    <w:rsid w:val="44524D55"/>
    <w:rsid w:val="4588231F"/>
    <w:rsid w:val="46BC5EDB"/>
    <w:rsid w:val="46F16118"/>
    <w:rsid w:val="4709033C"/>
    <w:rsid w:val="47267D70"/>
    <w:rsid w:val="47E16706"/>
    <w:rsid w:val="483F56E5"/>
    <w:rsid w:val="48614D4D"/>
    <w:rsid w:val="49340FF6"/>
    <w:rsid w:val="4A5D7BD7"/>
    <w:rsid w:val="4AE32642"/>
    <w:rsid w:val="4B137364"/>
    <w:rsid w:val="4B9B7E9A"/>
    <w:rsid w:val="4CE15078"/>
    <w:rsid w:val="4CE950BA"/>
    <w:rsid w:val="4D5C793F"/>
    <w:rsid w:val="4DA4017C"/>
    <w:rsid w:val="4DC45D22"/>
    <w:rsid w:val="4DE30B55"/>
    <w:rsid w:val="4E2F07EB"/>
    <w:rsid w:val="4F3A6B88"/>
    <w:rsid w:val="4F981115"/>
    <w:rsid w:val="505F1250"/>
    <w:rsid w:val="50842C69"/>
    <w:rsid w:val="50CF4A20"/>
    <w:rsid w:val="51645619"/>
    <w:rsid w:val="52DA6711"/>
    <w:rsid w:val="53C71B74"/>
    <w:rsid w:val="54152AC7"/>
    <w:rsid w:val="547658B9"/>
    <w:rsid w:val="55065290"/>
    <w:rsid w:val="55594392"/>
    <w:rsid w:val="55BC34F3"/>
    <w:rsid w:val="55C27A0C"/>
    <w:rsid w:val="55C63470"/>
    <w:rsid w:val="561450A1"/>
    <w:rsid w:val="56483EE4"/>
    <w:rsid w:val="56921EF6"/>
    <w:rsid w:val="56F046D1"/>
    <w:rsid w:val="5729188C"/>
    <w:rsid w:val="577F481A"/>
    <w:rsid w:val="5785402A"/>
    <w:rsid w:val="58565419"/>
    <w:rsid w:val="5891193F"/>
    <w:rsid w:val="59467D9F"/>
    <w:rsid w:val="59CC2D88"/>
    <w:rsid w:val="5A7F3E17"/>
    <w:rsid w:val="5AA86531"/>
    <w:rsid w:val="5ABE2FC1"/>
    <w:rsid w:val="5B2D07A3"/>
    <w:rsid w:val="5C9A2E8E"/>
    <w:rsid w:val="5CF14D92"/>
    <w:rsid w:val="5D3F3829"/>
    <w:rsid w:val="5E9856F8"/>
    <w:rsid w:val="5ED452B9"/>
    <w:rsid w:val="5F5B5FD6"/>
    <w:rsid w:val="5F5C60BA"/>
    <w:rsid w:val="61CB5DE4"/>
    <w:rsid w:val="61EB6AF8"/>
    <w:rsid w:val="622B684B"/>
    <w:rsid w:val="62FC7653"/>
    <w:rsid w:val="63397A83"/>
    <w:rsid w:val="64607BA9"/>
    <w:rsid w:val="647A197B"/>
    <w:rsid w:val="648E34A6"/>
    <w:rsid w:val="64915201"/>
    <w:rsid w:val="65355189"/>
    <w:rsid w:val="6537031E"/>
    <w:rsid w:val="657A50D6"/>
    <w:rsid w:val="65C729EC"/>
    <w:rsid w:val="66F132CF"/>
    <w:rsid w:val="66F65410"/>
    <w:rsid w:val="67662B31"/>
    <w:rsid w:val="68231C2E"/>
    <w:rsid w:val="68FA0798"/>
    <w:rsid w:val="69705069"/>
    <w:rsid w:val="69B0370A"/>
    <w:rsid w:val="6A0E178B"/>
    <w:rsid w:val="6AC65098"/>
    <w:rsid w:val="6AF42BC1"/>
    <w:rsid w:val="6AF73145"/>
    <w:rsid w:val="6B073DB6"/>
    <w:rsid w:val="6B0E4BB1"/>
    <w:rsid w:val="6BB8600B"/>
    <w:rsid w:val="6C0C1208"/>
    <w:rsid w:val="6C793B02"/>
    <w:rsid w:val="6D2947A3"/>
    <w:rsid w:val="6DE446DA"/>
    <w:rsid w:val="6EC40305"/>
    <w:rsid w:val="6F2268CB"/>
    <w:rsid w:val="6F405FFB"/>
    <w:rsid w:val="6F61487B"/>
    <w:rsid w:val="6FE638BB"/>
    <w:rsid w:val="6FF0400E"/>
    <w:rsid w:val="70223899"/>
    <w:rsid w:val="70FA495C"/>
    <w:rsid w:val="712B2CEC"/>
    <w:rsid w:val="713B3C0B"/>
    <w:rsid w:val="718051B8"/>
    <w:rsid w:val="71A77D39"/>
    <w:rsid w:val="71FF0D58"/>
    <w:rsid w:val="72AB7712"/>
    <w:rsid w:val="72E4201F"/>
    <w:rsid w:val="730E0FC5"/>
    <w:rsid w:val="7449509F"/>
    <w:rsid w:val="74AB04FE"/>
    <w:rsid w:val="755043BD"/>
    <w:rsid w:val="75D10F6B"/>
    <w:rsid w:val="76723404"/>
    <w:rsid w:val="769D6AA6"/>
    <w:rsid w:val="76D56984"/>
    <w:rsid w:val="76F04625"/>
    <w:rsid w:val="779F295C"/>
    <w:rsid w:val="78890534"/>
    <w:rsid w:val="78C27BEC"/>
    <w:rsid w:val="79381F1A"/>
    <w:rsid w:val="7A941506"/>
    <w:rsid w:val="7CCB152C"/>
    <w:rsid w:val="7D14035D"/>
    <w:rsid w:val="7D8F6C04"/>
    <w:rsid w:val="7DF519CC"/>
    <w:rsid w:val="7E6D5D44"/>
    <w:rsid w:val="7EA247F0"/>
    <w:rsid w:val="7FC41046"/>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1"/>
    <w:basedOn w:val="1"/>
    <w:next w:val="1"/>
    <w:link w:val="28"/>
    <w:qFormat/>
    <w:uiPriority w:val="9"/>
    <w:pPr>
      <w:spacing w:before="120" w:after="120" w:line="240" w:lineRule="auto"/>
      <w:jc w:val="both"/>
      <w:outlineLvl w:val="0"/>
    </w:pPr>
    <w:rPr>
      <w:rFonts w:eastAsia="Times New Roman" w:cs="Times New Roman" w:asciiTheme="minorHAnsi" w:hAnsiTheme="minorHAnsi"/>
      <w:b/>
      <w:bCs/>
      <w:sz w:val="28"/>
      <w:szCs w:val="28"/>
      <w:lang w:val="es-ES"/>
    </w:rPr>
  </w:style>
  <w:style w:type="paragraph" w:styleId="3">
    <w:name w:val="heading 2"/>
    <w:basedOn w:val="2"/>
    <w:next w:val="1"/>
    <w:link w:val="42"/>
    <w:unhideWhenUsed/>
    <w:qFormat/>
    <w:uiPriority w:val="9"/>
    <w:pPr>
      <w:spacing w:before="240"/>
      <w:outlineLvl w:val="1"/>
    </w:pPr>
    <w:rPr>
      <w:sz w:val="24"/>
    </w:rPr>
  </w:style>
  <w:style w:type="paragraph" w:styleId="4">
    <w:name w:val="heading 3"/>
    <w:basedOn w:val="1"/>
    <w:next w:val="1"/>
    <w:link w:val="46"/>
    <w:unhideWhenUsed/>
    <w:qFormat/>
    <w:uiPriority w:val="9"/>
    <w:pPr>
      <w:outlineLvl w:val="2"/>
    </w:pPr>
  </w:style>
  <w:style w:type="paragraph" w:styleId="5">
    <w:name w:val="heading 4"/>
    <w:basedOn w:val="1"/>
    <w:next w:val="1"/>
    <w:link w:val="33"/>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65"/>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annotation reference"/>
    <w:basedOn w:val="7"/>
    <w:semiHidden/>
    <w:unhideWhenUsed/>
    <w:qFormat/>
    <w:uiPriority w:val="99"/>
    <w:rPr>
      <w:sz w:val="16"/>
      <w:szCs w:val="16"/>
    </w:rPr>
  </w:style>
  <w:style w:type="character" w:styleId="10">
    <w:name w:val="Emphasis"/>
    <w:basedOn w:val="7"/>
    <w:qFormat/>
    <w:uiPriority w:val="20"/>
    <w:rPr>
      <w:i/>
      <w:iCs/>
    </w:rPr>
  </w:style>
  <w:style w:type="character" w:styleId="11">
    <w:name w:val="Hyperlink"/>
    <w:basedOn w:val="7"/>
    <w:qFormat/>
    <w:uiPriority w:val="99"/>
    <w:rPr>
      <w:color w:val="0563C1"/>
      <w:u w:val="single"/>
    </w:rPr>
  </w:style>
  <w:style w:type="character" w:styleId="12">
    <w:name w:val="page number"/>
    <w:basedOn w:val="7"/>
    <w:unhideWhenUsed/>
    <w:qFormat/>
    <w:uiPriority w:val="99"/>
  </w:style>
  <w:style w:type="character" w:styleId="13">
    <w:name w:val="Strong"/>
    <w:basedOn w:val="7"/>
    <w:qFormat/>
    <w:uiPriority w:val="22"/>
    <w:rPr>
      <w:b/>
      <w:bCs/>
    </w:rPr>
  </w:style>
  <w:style w:type="paragraph" w:styleId="14">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5">
    <w:name w:val="annotation subject"/>
    <w:basedOn w:val="16"/>
    <w:next w:val="16"/>
    <w:link w:val="26"/>
    <w:semiHidden/>
    <w:unhideWhenUsed/>
    <w:qFormat/>
    <w:uiPriority w:val="99"/>
    <w:rPr>
      <w:b/>
      <w:bCs/>
    </w:rPr>
  </w:style>
  <w:style w:type="paragraph" w:styleId="16">
    <w:name w:val="annotation text"/>
    <w:basedOn w:val="1"/>
    <w:link w:val="25"/>
    <w:semiHidden/>
    <w:unhideWhenUsed/>
    <w:qFormat/>
    <w:uiPriority w:val="99"/>
    <w:pPr>
      <w:spacing w:line="240" w:lineRule="auto"/>
    </w:pPr>
    <w:rPr>
      <w:sz w:val="20"/>
      <w:szCs w:val="20"/>
    </w:rPr>
  </w:style>
  <w:style w:type="paragraph" w:styleId="17">
    <w:name w:val="Balloon Text"/>
    <w:basedOn w:val="1"/>
    <w:link w:val="27"/>
    <w:semiHidden/>
    <w:unhideWhenUsed/>
    <w:qFormat/>
    <w:uiPriority w:val="99"/>
    <w:pPr>
      <w:spacing w:after="0" w:line="240" w:lineRule="auto"/>
    </w:pPr>
    <w:rPr>
      <w:rFonts w:ascii="Tahoma" w:hAnsi="Tahoma" w:cs="Tahoma"/>
      <w:sz w:val="16"/>
      <w:szCs w:val="16"/>
    </w:rPr>
  </w:style>
  <w:style w:type="paragraph" w:styleId="18">
    <w:name w:val="header"/>
    <w:basedOn w:val="1"/>
    <w:link w:val="30"/>
    <w:unhideWhenUsed/>
    <w:qFormat/>
    <w:uiPriority w:val="99"/>
    <w:pPr>
      <w:tabs>
        <w:tab w:val="center" w:pos="4419"/>
        <w:tab w:val="right" w:pos="8838"/>
      </w:tabs>
      <w:spacing w:after="0" w:line="240" w:lineRule="auto"/>
    </w:p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s-VE" w:eastAsia="es-VE"/>
    </w:rPr>
  </w:style>
  <w:style w:type="paragraph" w:styleId="20">
    <w:name w:val="footer"/>
    <w:basedOn w:val="1"/>
    <w:link w:val="31"/>
    <w:unhideWhenUsed/>
    <w:qFormat/>
    <w:uiPriority w:val="99"/>
    <w:pPr>
      <w:tabs>
        <w:tab w:val="center" w:pos="4419"/>
        <w:tab w:val="right" w:pos="8838"/>
      </w:tabs>
      <w:spacing w:after="0" w:line="240" w:lineRule="auto"/>
    </w:pPr>
  </w:style>
  <w:style w:type="paragraph" w:styleId="21">
    <w:name w:val="Subtitle"/>
    <w:basedOn w:val="1"/>
    <w:next w:val="1"/>
    <w:link w:val="36"/>
    <w:qFormat/>
    <w:uiPriority w:val="11"/>
    <w:pPr>
      <w:spacing w:before="120" w:after="60" w:line="240" w:lineRule="auto"/>
    </w:pPr>
    <w:rPr>
      <w:rFonts w:cs="Times New Roman" w:asciiTheme="minorHAnsi" w:hAnsiTheme="minorHAnsi"/>
      <w:b/>
      <w:i/>
      <w:szCs w:val="24"/>
      <w:lang w:val="es-ES"/>
    </w:rPr>
  </w:style>
  <w:style w:type="paragraph" w:styleId="22">
    <w:name w:val="Body Text"/>
    <w:basedOn w:val="1"/>
    <w:link w:val="34"/>
    <w:qFormat/>
    <w:uiPriority w:val="1"/>
    <w:pPr>
      <w:widowControl w:val="0"/>
      <w:autoSpaceDE w:val="0"/>
      <w:autoSpaceDN w:val="0"/>
      <w:spacing w:after="0" w:line="240" w:lineRule="auto"/>
      <w:ind w:left="255"/>
      <w:jc w:val="both"/>
    </w:pPr>
    <w:rPr>
      <w:rFonts w:ascii="Times New Roman" w:hAnsi="Times New Roman" w:eastAsia="Times New Roman" w:cs="Times New Roman"/>
      <w:sz w:val="24"/>
      <w:szCs w:val="24"/>
      <w:lang w:val="es-ES"/>
    </w:rPr>
  </w:style>
  <w:style w:type="paragraph" w:styleId="23">
    <w:name w:val="Title"/>
    <w:basedOn w:val="2"/>
    <w:next w:val="1"/>
    <w:link w:val="35"/>
    <w:qFormat/>
    <w:uiPriority w:val="10"/>
    <w:rPr>
      <w:rFonts w:ascii="Times New Roman" w:hAnsi="Times New Roman"/>
      <w:b w:val="0"/>
      <w:bCs w:val="0"/>
    </w:rPr>
  </w:style>
  <w:style w:type="table" w:styleId="24">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Texto comentario Car"/>
    <w:basedOn w:val="7"/>
    <w:link w:val="16"/>
    <w:semiHidden/>
    <w:qFormat/>
    <w:uiPriority w:val="99"/>
    <w:rPr>
      <w:sz w:val="20"/>
      <w:szCs w:val="20"/>
    </w:rPr>
  </w:style>
  <w:style w:type="character" w:customStyle="1" w:styleId="26">
    <w:name w:val="Asunto del comentario Car"/>
    <w:basedOn w:val="25"/>
    <w:link w:val="15"/>
    <w:semiHidden/>
    <w:qFormat/>
    <w:uiPriority w:val="99"/>
    <w:rPr>
      <w:b/>
      <w:bCs/>
      <w:sz w:val="20"/>
      <w:szCs w:val="20"/>
    </w:rPr>
  </w:style>
  <w:style w:type="character" w:customStyle="1" w:styleId="27">
    <w:name w:val="Texto de globo Car"/>
    <w:basedOn w:val="7"/>
    <w:link w:val="17"/>
    <w:semiHidden/>
    <w:qFormat/>
    <w:uiPriority w:val="99"/>
    <w:rPr>
      <w:rFonts w:ascii="Tahoma" w:hAnsi="Tahoma" w:cs="Tahoma"/>
      <w:sz w:val="16"/>
      <w:szCs w:val="16"/>
    </w:rPr>
  </w:style>
  <w:style w:type="character" w:customStyle="1" w:styleId="28">
    <w:name w:val="Título 1 Car"/>
    <w:basedOn w:val="7"/>
    <w:link w:val="2"/>
    <w:qFormat/>
    <w:uiPriority w:val="9"/>
    <w:rPr>
      <w:rFonts w:eastAsia="Times New Roman" w:cs="Times New Roman" w:asciiTheme="minorHAnsi" w:hAnsiTheme="minorHAnsi"/>
      <w:b/>
      <w:bCs/>
      <w:sz w:val="28"/>
      <w:szCs w:val="28"/>
      <w:lang w:val="es-ES"/>
    </w:rPr>
  </w:style>
  <w:style w:type="character" w:customStyle="1" w:styleId="29">
    <w:name w:val="Mención sin resolver1"/>
    <w:basedOn w:val="7"/>
    <w:semiHidden/>
    <w:unhideWhenUsed/>
    <w:qFormat/>
    <w:uiPriority w:val="99"/>
    <w:rPr>
      <w:color w:val="605E5C"/>
      <w:shd w:val="clear" w:color="auto" w:fill="E1DFDD"/>
    </w:rPr>
  </w:style>
  <w:style w:type="character" w:customStyle="1" w:styleId="30">
    <w:name w:val="Encabezado Car"/>
    <w:basedOn w:val="7"/>
    <w:link w:val="18"/>
    <w:qFormat/>
    <w:uiPriority w:val="99"/>
  </w:style>
  <w:style w:type="character" w:customStyle="1" w:styleId="31">
    <w:name w:val="Pie de página Car"/>
    <w:basedOn w:val="7"/>
    <w:link w:val="20"/>
    <w:qFormat/>
    <w:uiPriority w:val="99"/>
  </w:style>
  <w:style w:type="paragraph" w:styleId="32">
    <w:name w:val="List Paragraph"/>
    <w:basedOn w:val="1"/>
    <w:qFormat/>
    <w:uiPriority w:val="34"/>
    <w:pPr>
      <w:ind w:left="720"/>
      <w:contextualSpacing/>
    </w:pPr>
  </w:style>
  <w:style w:type="character" w:customStyle="1" w:styleId="33">
    <w:name w:val="Título 4 Car"/>
    <w:basedOn w:val="7"/>
    <w:link w:val="5"/>
    <w:qFormat/>
    <w:uiPriority w:val="9"/>
    <w:rPr>
      <w:rFonts w:asciiTheme="majorHAnsi" w:hAnsiTheme="majorHAnsi" w:eastAsiaTheme="majorEastAsia" w:cstheme="majorBidi"/>
      <w:i/>
      <w:iCs/>
      <w:color w:val="376092" w:themeColor="accent1" w:themeShade="BF"/>
    </w:rPr>
  </w:style>
  <w:style w:type="character" w:customStyle="1" w:styleId="34">
    <w:name w:val="Texto independiente Car"/>
    <w:basedOn w:val="7"/>
    <w:link w:val="22"/>
    <w:qFormat/>
    <w:uiPriority w:val="1"/>
    <w:rPr>
      <w:rFonts w:ascii="Times New Roman" w:hAnsi="Times New Roman" w:eastAsia="Times New Roman" w:cs="Times New Roman"/>
      <w:sz w:val="24"/>
      <w:szCs w:val="24"/>
      <w:lang w:val="es-ES"/>
    </w:rPr>
  </w:style>
  <w:style w:type="character" w:customStyle="1" w:styleId="35">
    <w:name w:val="Título Car"/>
    <w:basedOn w:val="7"/>
    <w:link w:val="23"/>
    <w:qFormat/>
    <w:uiPriority w:val="10"/>
    <w:rPr>
      <w:rFonts w:ascii="Times New Roman" w:hAnsi="Times New Roman" w:eastAsia="Times New Roman" w:cs="Times New Roman"/>
      <w:b/>
      <w:bCs/>
      <w:sz w:val="32"/>
      <w:szCs w:val="32"/>
      <w:lang w:val="es-ES"/>
    </w:rPr>
  </w:style>
  <w:style w:type="character" w:customStyle="1" w:styleId="36">
    <w:name w:val="Subtítulo Car"/>
    <w:basedOn w:val="7"/>
    <w:link w:val="21"/>
    <w:qFormat/>
    <w:uiPriority w:val="11"/>
    <w:rPr>
      <w:rFonts w:cs="Times New Roman" w:asciiTheme="minorHAnsi" w:hAnsiTheme="minorHAnsi"/>
      <w:b/>
      <w:i/>
      <w:szCs w:val="24"/>
      <w:lang w:val="es-ES"/>
    </w:rPr>
  </w:style>
  <w:style w:type="paragraph" w:customStyle="1" w:styleId="37">
    <w:name w:val="Autores"/>
    <w:basedOn w:val="1"/>
    <w:link w:val="38"/>
    <w:qFormat/>
    <w:uiPriority w:val="0"/>
    <w:pPr>
      <w:spacing w:after="0" w:line="240" w:lineRule="auto"/>
      <w:ind w:left="-113"/>
    </w:pPr>
    <w:rPr>
      <w:rFonts w:ascii="Times New Roman" w:hAnsi="Times New Roman" w:cs="Times New Roman"/>
      <w:b/>
      <w:sz w:val="24"/>
      <w:szCs w:val="24"/>
    </w:rPr>
  </w:style>
  <w:style w:type="character" w:customStyle="1" w:styleId="38">
    <w:name w:val="Autores Car"/>
    <w:basedOn w:val="7"/>
    <w:link w:val="37"/>
    <w:qFormat/>
    <w:uiPriority w:val="0"/>
    <w:rPr>
      <w:rFonts w:ascii="Times New Roman" w:hAnsi="Times New Roman" w:cs="Times New Roman"/>
      <w:b/>
      <w:sz w:val="24"/>
      <w:szCs w:val="24"/>
    </w:rPr>
  </w:style>
  <w:style w:type="paragraph" w:customStyle="1" w:styleId="39">
    <w:name w:val="Resumen_TX"/>
    <w:basedOn w:val="1"/>
    <w:link w:val="41"/>
    <w:qFormat/>
    <w:uiPriority w:val="0"/>
    <w:pPr>
      <w:spacing w:before="120" w:after="120" w:line="240" w:lineRule="auto"/>
      <w:jc w:val="both"/>
    </w:pPr>
    <w:rPr>
      <w:rFonts w:cs="Times New Roman" w:asciiTheme="minorHAnsi" w:hAnsiTheme="minorHAnsi"/>
      <w:sz w:val="18"/>
      <w:szCs w:val="20"/>
      <w:lang w:val="es-ES"/>
    </w:rPr>
  </w:style>
  <w:style w:type="paragraph" w:customStyle="1" w:styleId="40">
    <w:name w:val="Filiacion"/>
    <w:basedOn w:val="1"/>
    <w:link w:val="43"/>
    <w:qFormat/>
    <w:uiPriority w:val="0"/>
    <w:pPr>
      <w:widowControl w:val="0"/>
      <w:numPr>
        <w:ilvl w:val="0"/>
        <w:numId w:val="1"/>
      </w:numPr>
      <w:pBdr>
        <w:bottom w:val="single" w:color="auto" w:sz="12" w:space="1"/>
      </w:pBdr>
      <w:tabs>
        <w:tab w:val="left" w:pos="471"/>
      </w:tabs>
      <w:autoSpaceDE w:val="0"/>
      <w:autoSpaceDN w:val="0"/>
      <w:spacing w:before="60" w:after="60" w:line="240" w:lineRule="auto"/>
      <w:ind w:left="215"/>
    </w:pPr>
    <w:rPr>
      <w:rFonts w:eastAsia="Times New Roman" w:cs="Times New Roman" w:asciiTheme="minorHAnsi" w:hAnsiTheme="minorHAnsi"/>
      <w:sz w:val="16"/>
      <w:lang w:val="es-ES"/>
    </w:rPr>
  </w:style>
  <w:style w:type="character" w:customStyle="1" w:styleId="41">
    <w:name w:val="Resumen_TX Car"/>
    <w:basedOn w:val="7"/>
    <w:link w:val="39"/>
    <w:qFormat/>
    <w:uiPriority w:val="0"/>
    <w:rPr>
      <w:rFonts w:cs="Times New Roman" w:asciiTheme="minorHAnsi" w:hAnsiTheme="minorHAnsi"/>
      <w:sz w:val="18"/>
      <w:szCs w:val="20"/>
      <w:lang w:val="es-ES"/>
    </w:rPr>
  </w:style>
  <w:style w:type="character" w:customStyle="1" w:styleId="42">
    <w:name w:val="Título 2 Car"/>
    <w:basedOn w:val="7"/>
    <w:link w:val="3"/>
    <w:qFormat/>
    <w:uiPriority w:val="9"/>
    <w:rPr>
      <w:rFonts w:eastAsia="Times New Roman" w:cs="Times New Roman" w:asciiTheme="minorHAnsi" w:hAnsiTheme="minorHAnsi"/>
      <w:b/>
      <w:bCs/>
      <w:sz w:val="24"/>
      <w:szCs w:val="28"/>
      <w:lang w:val="es-ES"/>
    </w:rPr>
  </w:style>
  <w:style w:type="character" w:customStyle="1" w:styleId="43">
    <w:name w:val="Filiacion Car"/>
    <w:basedOn w:val="7"/>
    <w:link w:val="40"/>
    <w:qFormat/>
    <w:uiPriority w:val="0"/>
    <w:rPr>
      <w:rFonts w:eastAsia="Times New Roman" w:cs="Times New Roman" w:asciiTheme="minorHAnsi" w:hAnsiTheme="minorHAnsi"/>
      <w:sz w:val="16"/>
      <w:lang w:val="es-ES"/>
    </w:rPr>
  </w:style>
  <w:style w:type="paragraph" w:customStyle="1" w:styleId="44">
    <w:name w:val="Referencias"/>
    <w:basedOn w:val="1"/>
    <w:link w:val="45"/>
    <w:qFormat/>
    <w:uiPriority w:val="0"/>
    <w:pPr>
      <w:spacing w:before="60" w:after="60" w:line="240" w:lineRule="auto"/>
      <w:ind w:left="720" w:hanging="720"/>
      <w:jc w:val="both"/>
    </w:pPr>
    <w:rPr>
      <w:rFonts w:cs="Times New Roman" w:asciiTheme="minorHAnsi" w:hAnsiTheme="minorHAnsi"/>
      <w:szCs w:val="24"/>
      <w:lang w:val="es-ES"/>
    </w:rPr>
  </w:style>
  <w:style w:type="character" w:customStyle="1" w:styleId="45">
    <w:name w:val="Referencias Car"/>
    <w:basedOn w:val="7"/>
    <w:link w:val="44"/>
    <w:qFormat/>
    <w:uiPriority w:val="0"/>
    <w:rPr>
      <w:rFonts w:cs="Times New Roman" w:asciiTheme="minorHAnsi" w:hAnsiTheme="minorHAnsi"/>
      <w:szCs w:val="24"/>
      <w:lang w:val="es-ES"/>
    </w:rPr>
  </w:style>
  <w:style w:type="character" w:customStyle="1" w:styleId="46">
    <w:name w:val="Título 3 Car"/>
    <w:basedOn w:val="7"/>
    <w:link w:val="4"/>
    <w:qFormat/>
    <w:uiPriority w:val="9"/>
    <w:rPr>
      <w:rFonts w:cs="Times New Roman" w:asciiTheme="minorHAnsi" w:hAnsiTheme="minorHAnsi"/>
      <w:b/>
      <w:i/>
      <w:szCs w:val="24"/>
      <w:lang w:val="es-ES"/>
    </w:rPr>
  </w:style>
  <w:style w:type="table" w:customStyle="1" w:styleId="47">
    <w:name w:val="Tabla de lista 1 clara - Énfasis 31"/>
    <w:basedOn w:val="8"/>
    <w:qFormat/>
    <w:uiPriority w:val="46"/>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8">
    <w:name w:val="Tabla de lista 2 - Énfasis 31"/>
    <w:basedOn w:val="8"/>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9">
    <w:name w:val="Tabla de lista 2 - Énfasis 51"/>
    <w:basedOn w:val="8"/>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paragraph" w:customStyle="1" w:styleId="50">
    <w:name w:val="Normal Sangría"/>
    <w:basedOn w:val="1"/>
    <w:link w:val="51"/>
    <w:qFormat/>
    <w:uiPriority w:val="0"/>
    <w:pPr>
      <w:spacing w:line="480" w:lineRule="auto"/>
      <w:ind w:firstLine="720"/>
      <w:jc w:val="both"/>
    </w:pPr>
    <w:rPr>
      <w:rFonts w:ascii="Times New Roman" w:hAnsi="Times New Roman" w:cs="Times New Roman" w:eastAsiaTheme="minorHAnsi"/>
      <w:kern w:val="2"/>
      <w:sz w:val="24"/>
      <w:szCs w:val="24"/>
      <w:lang w:val="es-PE"/>
      <w14:ligatures w14:val="standardContextual"/>
    </w:rPr>
  </w:style>
  <w:style w:type="character" w:customStyle="1" w:styleId="51">
    <w:name w:val="Normal Sangría Car"/>
    <w:basedOn w:val="7"/>
    <w:link w:val="50"/>
    <w:qFormat/>
    <w:uiPriority w:val="0"/>
    <w:rPr>
      <w:rFonts w:ascii="Times New Roman" w:hAnsi="Times New Roman" w:cs="Times New Roman" w:eastAsiaTheme="minorHAnsi"/>
      <w:kern w:val="2"/>
      <w:sz w:val="24"/>
      <w:szCs w:val="24"/>
      <w:lang w:val="es-PE"/>
      <w14:ligatures w14:val="standardContextual"/>
    </w:rPr>
  </w:style>
  <w:style w:type="paragraph" w:customStyle="1" w:styleId="52">
    <w:name w:val="Tablas"/>
    <w:basedOn w:val="14"/>
    <w:link w:val="53"/>
    <w:qFormat/>
    <w:uiPriority w:val="0"/>
    <w:pPr>
      <w:keepNext/>
      <w:jc w:val="center"/>
    </w:pPr>
    <w:rPr>
      <w:rFonts w:ascii="Times New Roman" w:hAnsi="Times New Roman" w:cs="Times New Roman" w:eastAsiaTheme="minorHAnsi"/>
      <w:kern w:val="2"/>
      <w:sz w:val="24"/>
      <w:lang w:val="es-PE"/>
      <w14:ligatures w14:val="standardContextual"/>
    </w:rPr>
  </w:style>
  <w:style w:type="character" w:customStyle="1" w:styleId="53">
    <w:name w:val="Tablas Car"/>
    <w:basedOn w:val="7"/>
    <w:link w:val="52"/>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paragraph" w:customStyle="1" w:styleId="54">
    <w:name w:val="Bibliografía1"/>
    <w:basedOn w:val="1"/>
    <w:next w:val="1"/>
    <w:unhideWhenUsed/>
    <w:qFormat/>
    <w:uiPriority w:val="37"/>
    <w:pPr>
      <w:spacing w:after="0" w:line="480" w:lineRule="auto"/>
      <w:ind w:left="720" w:hanging="720"/>
    </w:pPr>
  </w:style>
  <w:style w:type="paragraph" w:customStyle="1" w:styleId="55">
    <w:name w:val="Fuentes"/>
    <w:basedOn w:val="50"/>
    <w:link w:val="56"/>
    <w:qFormat/>
    <w:uiPriority w:val="0"/>
    <w:pPr>
      <w:spacing w:line="240" w:lineRule="atLeast"/>
      <w:ind w:firstLine="0"/>
      <w:jc w:val="center"/>
    </w:pPr>
    <w:rPr>
      <w:i/>
      <w:iCs/>
      <w:color w:val="1F497D" w:themeColor="text2"/>
      <w:szCs w:val="18"/>
      <w14:textFill>
        <w14:solidFill>
          <w14:schemeClr w14:val="tx2"/>
        </w14:solidFill>
      </w14:textFill>
    </w:rPr>
  </w:style>
  <w:style w:type="character" w:customStyle="1" w:styleId="56">
    <w:name w:val="Fuentes Car"/>
    <w:basedOn w:val="7"/>
    <w:link w:val="55"/>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paragraph" w:customStyle="1" w:styleId="57">
    <w:name w:val="Figuras"/>
    <w:basedOn w:val="14"/>
    <w:link w:val="58"/>
    <w:qFormat/>
    <w:uiPriority w:val="0"/>
    <w:pPr>
      <w:keepNext/>
      <w:jc w:val="center"/>
    </w:pPr>
    <w:rPr>
      <w:rFonts w:ascii="Times New Roman" w:hAnsi="Times New Roman" w:cs="Times New Roman" w:eastAsiaTheme="minorHAnsi"/>
      <w:kern w:val="2"/>
      <w:sz w:val="24"/>
      <w:lang w:val="es-PE"/>
      <w14:ligatures w14:val="standardContextual"/>
    </w:rPr>
  </w:style>
  <w:style w:type="character" w:customStyle="1" w:styleId="58">
    <w:name w:val="Figuras Car"/>
    <w:basedOn w:val="7"/>
    <w:link w:val="57"/>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character" w:customStyle="1" w:styleId="59">
    <w:name w:val="Mención sin resolver2"/>
    <w:basedOn w:val="7"/>
    <w:semiHidden/>
    <w:unhideWhenUsed/>
    <w:qFormat/>
    <w:uiPriority w:val="99"/>
    <w:rPr>
      <w:color w:val="605E5C"/>
      <w:shd w:val="clear" w:color="auto" w:fill="E1DFDD"/>
    </w:rPr>
  </w:style>
  <w:style w:type="paragraph" w:customStyle="1" w:styleId="60">
    <w:name w:val="Paragraph Text Style"/>
    <w:qFormat/>
    <w:uiPriority w:val="0"/>
    <w:pPr>
      <w:spacing w:before="144" w:after="72" w:line="276" w:lineRule="auto"/>
    </w:pPr>
    <w:rPr>
      <w:rFonts w:ascii="Segoe UI" w:hAnsi="Segoe UI" w:eastAsia="Segoe UI" w:cs="Segoe UI"/>
      <w:color w:val="000000"/>
      <w:sz w:val="26"/>
      <w:szCs w:val="26"/>
      <w:lang w:val="es-VE" w:eastAsia="es-VE" w:bidi="ar-SA"/>
    </w:rPr>
  </w:style>
  <w:style w:type="paragraph" w:customStyle="1" w:styleId="61">
    <w:name w:val="TABLAS"/>
    <w:basedOn w:val="1"/>
    <w:qFormat/>
    <w:uiPriority w:val="0"/>
    <w:pPr>
      <w:shd w:val="clear" w:color="auto" w:fill="FFFFFF"/>
      <w:jc w:val="both"/>
    </w:pPr>
    <w:rPr>
      <w:rFonts w:cs="Times New Roman"/>
      <w:spacing w:val="-3"/>
      <w:szCs w:val="24"/>
      <w:shd w:val="clear" w:color="auto" w:fill="FFFFFF"/>
    </w:rPr>
  </w:style>
  <w:style w:type="paragraph" w:customStyle="1" w:styleId="62">
    <w:name w:val="figura"/>
    <w:basedOn w:val="52"/>
    <w:qFormat/>
    <w:uiPriority w:val="0"/>
    <w:rPr>
      <w:b/>
      <w:i w:val="0"/>
      <w:sz w:val="20"/>
    </w:rPr>
  </w:style>
  <w:style w:type="paragraph" w:customStyle="1" w:styleId="63">
    <w:name w:val="Bibliografía2"/>
    <w:basedOn w:val="1"/>
    <w:next w:val="1"/>
    <w:semiHidden/>
    <w:unhideWhenUsed/>
    <w:qFormat/>
    <w:uiPriority w:val="37"/>
    <w:pPr>
      <w:spacing w:line="360" w:lineRule="auto"/>
      <w:ind w:firstLine="567"/>
      <w:jc w:val="both"/>
    </w:pPr>
    <w:rPr>
      <w:rFonts w:ascii="Times New Roman" w:hAnsi="Times New Roman" w:cs="Times New Roman" w:eastAsiaTheme="minorHAnsi"/>
      <w:sz w:val="24"/>
      <w:szCs w:val="24"/>
      <w:lang w:val="es-PE"/>
    </w:rPr>
  </w:style>
  <w:style w:type="paragraph" w:customStyle="1" w:styleId="64">
    <w:name w:val="Table Paragraph"/>
    <w:basedOn w:val="1"/>
    <w:qFormat/>
    <w:uiPriority w:val="1"/>
    <w:rPr>
      <w:rFonts w:ascii="Cambria" w:hAnsi="Cambria" w:eastAsia="Cambria" w:cs="Cambria"/>
      <w:lang w:val="es-ES"/>
    </w:rPr>
  </w:style>
  <w:style w:type="character" w:customStyle="1" w:styleId="65">
    <w:name w:val="Título 5 Car"/>
    <w:basedOn w:val="7"/>
    <w:link w:val="6"/>
    <w:uiPriority w:val="9"/>
    <w:rPr>
      <w:rFonts w:asciiTheme="majorHAnsi" w:hAnsiTheme="majorHAnsi" w:eastAsiaTheme="majorEastAsia" w:cstheme="majorBidi"/>
      <w:color w:val="376092" w:themeColor="accent1" w:themeShade="BF"/>
      <w:sz w:val="22"/>
      <w:szCs w:val="22"/>
      <w:lang w:val="en-US" w:eastAsia="en-US"/>
    </w:rPr>
  </w:style>
  <w:style w:type="character" w:customStyle="1" w:styleId="66">
    <w:name w:val="selected"/>
    <w:basedOn w:val="7"/>
    <w:uiPriority w:val="0"/>
  </w:style>
  <w:style w:type="character" w:customStyle="1" w:styleId="67">
    <w:name w:val="citation-0"/>
    <w:basedOn w:val="7"/>
    <w:qFormat/>
    <w:uiPriority w:val="0"/>
  </w:style>
  <w:style w:type="character" w:customStyle="1" w:styleId="68">
    <w:name w:val="button-container"/>
    <w:basedOn w:val="7"/>
    <w:qFormat/>
    <w:uiPriority w:val="0"/>
  </w:style>
  <w:style w:type="table" w:customStyle="1" w:styleId="69">
    <w:name w:val="Grid Table 4"/>
    <w:basedOn w:val="8"/>
    <w:qFormat/>
    <w:uiPriority w:val="49"/>
    <w:rPr>
      <w:rFonts w:asciiTheme="minorHAnsi" w:hAnsiTheme="minorHAnsi" w:eastAsiaTheme="minorEastAsia" w:cstheme="minorBid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70">
    <w:name w:val="citation-1"/>
    <w:basedOn w:val="7"/>
    <w:qFormat/>
    <w:uiPriority w:val="0"/>
  </w:style>
  <w:style w:type="character" w:customStyle="1" w:styleId="71">
    <w:name w:val="citation-2"/>
    <w:basedOn w:val="7"/>
    <w:uiPriority w:val="0"/>
  </w:style>
  <w:style w:type="character" w:customStyle="1" w:styleId="72">
    <w:name w:val="citation-3"/>
    <w:basedOn w:val="7"/>
    <w:qFormat/>
    <w:uiPriority w:val="0"/>
  </w:style>
  <w:style w:type="character" w:customStyle="1" w:styleId="73">
    <w:name w:val="Unresolved Mention"/>
    <w:basedOn w:val="7"/>
    <w:semiHidden/>
    <w:unhideWhenUsed/>
    <w:qFormat/>
    <w:uiPriority w:val="99"/>
    <w:rPr>
      <w:color w:val="605E5C"/>
      <w:shd w:val="clear" w:color="auto" w:fill="E1DFDD"/>
    </w:rPr>
  </w:style>
  <w:style w:type="character" w:customStyle="1" w:styleId="74">
    <w:name w:val="citation-19"/>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hyperlink" Target="https://orcid.org/0009-0007-4101-0642" TargetMode="External"/><Relationship Id="rId15" Type="http://schemas.openxmlformats.org/officeDocument/2006/relationships/hyperlink" Target="https://orcid.org/0009-0002-4758-8967" TargetMode="External"/><Relationship Id="rId14" Type="http://schemas.openxmlformats.org/officeDocument/2006/relationships/hyperlink" Target="https://orcid.org/0009-0008-5190-1358" TargetMode="External"/><Relationship Id="rId13" Type="http://schemas.openxmlformats.org/officeDocument/2006/relationships/image" Target="media/image6.png"/><Relationship Id="rId12" Type="http://schemas.openxmlformats.org/officeDocument/2006/relationships/hyperlink" Target="mailto:braulio.melchor@unh.edu.pe" TargetMode="External"/><Relationship Id="rId11" Type="http://schemas.openxmlformats.org/officeDocument/2006/relationships/image" Target="media/image5.png"/><Relationship Id="rId10" Type="http://schemas.openxmlformats.org/officeDocument/2006/relationships/hyperlink" Target="https://orcid.org/0000-0002-4098-3860"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revista.investigaciondetecnologias.com/index.php/e-RMS/article/view/35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246846-B386-4A8A-8860-70E63B580F52}">
  <ds:schemaRefs/>
</ds:datastoreItem>
</file>

<file path=docProps/app.xml><?xml version="1.0" encoding="utf-8"?>
<Properties xmlns="http://schemas.openxmlformats.org/officeDocument/2006/extended-properties" xmlns:vt="http://schemas.openxmlformats.org/officeDocument/2006/docPropsVTypes">
  <Template>Normal</Template>
  <Pages>8</Pages>
  <Words>2940</Words>
  <Characters>17919</Characters>
  <Lines>313</Lines>
  <Paragraphs>88</Paragraphs>
  <TotalTime>8</TotalTime>
  <ScaleCrop>false</ScaleCrop>
  <LinksUpToDate>false</LinksUpToDate>
  <CharactersWithSpaces>20716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2026-04-04T14:02:00Z</dcterms:created>
  <dc:creator>Lipselotte Infante</dc:creator>
  <cp:lastModifiedBy>Usuario</cp:lastModifiedBy>
  <cp:lastPrinted>2025-11-16T21:18:00Z</cp:lastPrinted>
  <dcterms:modified xsi:type="dcterms:W3CDTF">2026-05-25T08:30:37Z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B9F0DF39E35F4CBFA391254B3D4972FB_13</vt:lpwstr>
  </property>
  <property fmtid="{D5CDD505-2E9C-101B-9397-08002B2CF9AE}" pid="3" name="ZOTERO_PREF_1">
    <vt:lpwstr>&lt;data data-version="3" zotero-version="6.0.36"&gt;&lt;session id="IEjlPa7i"/&gt;&lt;style id="http://www.zotero.org/styles/apa" locale="es-ES" hasBibliography="1" bibliographyStyleHasBeenSet="1"/&gt;&lt;prefs&gt;&lt;pref name="fieldType" value="Field"/&gt;&lt;/prefs&gt;&lt;/data&gt;</vt:lpwstr>
  </property>
  <property fmtid="{D5CDD505-2E9C-101B-9397-08002B2CF9AE}" pid="4" name="KSOProductBuildVer">
    <vt:lpwstr>3082-12.1.0.26372</vt:lpwstr>
  </property>
  <property fmtid="{D5CDD505-2E9C-101B-9397-08002B2CF9AE}" pid="5" name="KSOTemplateDocerSaveRecord">
    <vt:lpwstr>eyJoZGlkIjoiN2Y1OTA2YTg4Yjk0ZDI1MGU5ZWIzN2UyNThmNDkwNzMifQ==</vt:lpwstr>
  </property>
</Properties>
</file>